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BA65" w14:textId="453AA5EC" w:rsidR="00D14CA9" w:rsidRDefault="00D14CA9" w:rsidP="00D14CA9">
      <w:pPr>
        <w:pStyle w:val="Heading1"/>
        <w:ind w:left="0"/>
        <w:jc w:val="center"/>
        <w:rPr>
          <w:sz w:val="24"/>
          <w:szCs w:val="20"/>
        </w:rPr>
      </w:pPr>
      <w:r w:rsidRPr="00D14CA9">
        <w:rPr>
          <w:sz w:val="24"/>
          <w:szCs w:val="20"/>
        </w:rPr>
        <w:t>Urodynamics predictive parameters to assess the efficacy of Botox therapy in children with refractory overactive bladder</w:t>
      </w:r>
      <w:r>
        <w:rPr>
          <w:sz w:val="24"/>
          <w:szCs w:val="20"/>
        </w:rPr>
        <w:t>: a case series study</w:t>
      </w:r>
    </w:p>
    <w:p w14:paraId="1830E20C" w14:textId="40606F39" w:rsidR="00471277" w:rsidRDefault="00471277" w:rsidP="00471277">
      <w:pPr>
        <w:pStyle w:val="Heading1"/>
        <w:ind w:left="0"/>
      </w:pPr>
      <w:r>
        <w:t>Authors:</w:t>
      </w:r>
    </w:p>
    <w:p w14:paraId="1830388E" w14:textId="094D638F" w:rsidR="00471277" w:rsidRDefault="00471277" w:rsidP="00471277">
      <w:r w:rsidRPr="00471277">
        <w:t xml:space="preserve">Galal Nabil Abdelmoneim¹, Ahmed Sebaey Ahmed², Abdallah Fathy Abd Alazim³, Salah Abd El Hamed El Hamshry⁴, Karem Mohamed </w:t>
      </w:r>
      <w:r w:rsidR="003E4630" w:rsidRPr="00471277">
        <w:t>Abdu</w:t>
      </w:r>
      <w:r w:rsidR="003E4630">
        <w:t>lhalem</w:t>
      </w:r>
      <w:r w:rsidR="003E4630" w:rsidRPr="00471277">
        <w:t xml:space="preserve"> </w:t>
      </w:r>
      <w:r w:rsidRPr="00471277">
        <w:t>Noah⁵</w:t>
      </w:r>
    </w:p>
    <w:p w14:paraId="5410B581" w14:textId="36AE2E82" w:rsidR="00471277" w:rsidRDefault="00471277" w:rsidP="00471277">
      <w:pPr>
        <w:pStyle w:val="Heading1"/>
        <w:ind w:left="0"/>
      </w:pPr>
      <w:r>
        <w:t xml:space="preserve">Affiliations: </w:t>
      </w:r>
    </w:p>
    <w:p w14:paraId="0821D5C4" w14:textId="77777777" w:rsidR="00471277" w:rsidRDefault="00471277" w:rsidP="00471277">
      <w:r>
        <w:t>¹MSc Candidate, Department of Urology, Faculty of Medicine, Benha University, Benha, Egypt</w:t>
      </w:r>
    </w:p>
    <w:p w14:paraId="15126EE3" w14:textId="77777777" w:rsidR="00471277" w:rsidRDefault="00471277" w:rsidP="00471277">
      <w:r>
        <w:t>²Professor of Urology, Faculty of Medicine, Benha University, Benha, Egypt</w:t>
      </w:r>
    </w:p>
    <w:p w14:paraId="7F34B428" w14:textId="3B2A5D1A" w:rsidR="00471277" w:rsidRDefault="00471277" w:rsidP="00471277">
      <w:r>
        <w:t>³Professor of Urology, Faculty of Medicine, Benha University, Benha, Egypt</w:t>
      </w:r>
    </w:p>
    <w:p w14:paraId="23F05D7E" w14:textId="47B13C33" w:rsidR="00471277" w:rsidRDefault="00471277" w:rsidP="00471277">
      <w:r>
        <w:t>⁴</w:t>
      </w:r>
      <w:r w:rsidR="008C2A0B" w:rsidRPr="008C2A0B">
        <w:t xml:space="preserve">Assistant Professor </w:t>
      </w:r>
      <w:r>
        <w:t>of Urology, Faculty of Medicine, Benha University, Benha, Egypt</w:t>
      </w:r>
    </w:p>
    <w:p w14:paraId="4C4A86A0" w14:textId="573F6118" w:rsidR="00471277" w:rsidRPr="00471277" w:rsidRDefault="00471277" w:rsidP="00471277">
      <w:r>
        <w:t>⁵Lecturer of Urology, Faculty of Medicine, Benha University, Benha, Egypt</w:t>
      </w:r>
    </w:p>
    <w:p w14:paraId="0F5E84F9" w14:textId="222BB183" w:rsidR="00471277" w:rsidRDefault="00471277" w:rsidP="00471277">
      <w:pPr>
        <w:pStyle w:val="Heading1"/>
        <w:ind w:left="0"/>
      </w:pPr>
      <w:r>
        <w:t xml:space="preserve">Corresponding Author: </w:t>
      </w:r>
    </w:p>
    <w:p w14:paraId="58483D3A" w14:textId="77777777" w:rsidR="00471277" w:rsidRDefault="00471277" w:rsidP="00471277">
      <w:r>
        <w:t>Galal Nabil Abdelmoneim</w:t>
      </w:r>
    </w:p>
    <w:p w14:paraId="6661CC69" w14:textId="77777777" w:rsidR="00471277" w:rsidRDefault="00471277" w:rsidP="00471277">
      <w:r>
        <w:t>Department of Urology, Faculty of Medicine, Benha University, Benha, Egypt</w:t>
      </w:r>
    </w:p>
    <w:p w14:paraId="50EBB907" w14:textId="43B92DD2" w:rsidR="00471277" w:rsidRDefault="00471277" w:rsidP="00471277">
      <w:r>
        <w:t xml:space="preserve">Email: </w:t>
      </w:r>
    </w:p>
    <w:p w14:paraId="3C3E03F2" w14:textId="1974923D" w:rsidR="00471277" w:rsidRDefault="00471277" w:rsidP="00471277">
      <w:r>
        <w:t xml:space="preserve">Phone: </w:t>
      </w:r>
    </w:p>
    <w:p w14:paraId="5DDA5637" w14:textId="77777777" w:rsidR="0077443A" w:rsidRDefault="0077443A" w:rsidP="00DC11CA">
      <w:pPr>
        <w:pStyle w:val="Heading1"/>
        <w:ind w:left="0"/>
      </w:pPr>
    </w:p>
    <w:p w14:paraId="544F6ECE" w14:textId="257A3F47" w:rsidR="00B429EA" w:rsidRDefault="00DD1C75" w:rsidP="00DC11CA">
      <w:pPr>
        <w:pStyle w:val="Heading1"/>
        <w:ind w:left="0"/>
      </w:pPr>
      <w:r>
        <w:t xml:space="preserve">Abstract </w:t>
      </w:r>
    </w:p>
    <w:p w14:paraId="07EF0273" w14:textId="60A386CF" w:rsidR="006F6822" w:rsidRDefault="00DD1C75" w:rsidP="000522BF">
      <w:pPr>
        <w:ind w:right="14"/>
        <w:rPr>
          <w:bCs/>
        </w:rPr>
      </w:pPr>
      <w:r>
        <w:rPr>
          <w:b/>
        </w:rPr>
        <w:t>Background:</w:t>
      </w:r>
      <w:r w:rsidR="002D52B9">
        <w:rPr>
          <w:b/>
        </w:rPr>
        <w:t xml:space="preserve"> </w:t>
      </w:r>
      <w:r w:rsidR="000522BF" w:rsidRPr="000522BF">
        <w:rPr>
          <w:bCs/>
        </w:rPr>
        <w:t xml:space="preserve">Managing pediatric refractory overactive bladder (OAB) is challenging when standard medications fail. While intradetrusor onabotulinumtoxinA (BTX-A) is a key alternative, patient response varies significantly. This </w:t>
      </w:r>
      <w:r w:rsidR="004E2100">
        <w:rPr>
          <w:bCs/>
        </w:rPr>
        <w:t>case seires</w:t>
      </w:r>
      <w:r w:rsidR="000522BF" w:rsidRPr="000522BF">
        <w:rPr>
          <w:bCs/>
        </w:rPr>
        <w:t xml:space="preserve"> study evaluated the short-term efficacy of BTX-A </w:t>
      </w:r>
      <w:r w:rsidR="004E2100">
        <w:rPr>
          <w:bCs/>
        </w:rPr>
        <w:t>in the treatment of refractory OAB pediatric patients.</w:t>
      </w:r>
    </w:p>
    <w:p w14:paraId="065DB2D5" w14:textId="77777777" w:rsidR="004E2100" w:rsidRPr="004E2100" w:rsidRDefault="00DD1C75" w:rsidP="004E2100">
      <w:pPr>
        <w:ind w:right="14"/>
        <w:rPr>
          <w:bCs/>
        </w:rPr>
      </w:pPr>
      <w:r>
        <w:rPr>
          <w:b/>
        </w:rPr>
        <w:t xml:space="preserve">Methods: </w:t>
      </w:r>
      <w:r w:rsidR="000522BF" w:rsidRPr="000522BF">
        <w:rPr>
          <w:bCs/>
        </w:rPr>
        <w:t xml:space="preserve">We conducted </w:t>
      </w:r>
      <w:r w:rsidR="004E2100">
        <w:rPr>
          <w:bCs/>
        </w:rPr>
        <w:t xml:space="preserve">a case series study </w:t>
      </w:r>
      <w:r w:rsidR="000522BF" w:rsidRPr="000522BF">
        <w:rPr>
          <w:bCs/>
        </w:rPr>
        <w:t xml:space="preserve">of </w:t>
      </w:r>
      <w:r w:rsidR="004E2100">
        <w:rPr>
          <w:bCs/>
        </w:rPr>
        <w:t>6</w:t>
      </w:r>
      <w:r w:rsidR="000522BF" w:rsidRPr="000522BF">
        <w:rPr>
          <w:bCs/>
        </w:rPr>
        <w:t xml:space="preserve"> children (aged 10–16 years) with refractory OAB treated with intradetrusor BTX-A. </w:t>
      </w:r>
      <w:r w:rsidR="004E2100" w:rsidRPr="004E2100">
        <w:rPr>
          <w:bCs/>
        </w:rPr>
        <w:t>For each patient we assessed several outcomes including the resolution of urinary incontinence and hydronephrosis, post-void residual (PVR) volumes, and a qualitative assessment of QoL at a 3-month follow-up.</w:t>
      </w:r>
    </w:p>
    <w:p w14:paraId="0E52B513" w14:textId="51D91758" w:rsidR="008123D4" w:rsidRPr="004E2100" w:rsidRDefault="00DD1C75" w:rsidP="004E2100">
      <w:pPr>
        <w:ind w:right="14"/>
      </w:pPr>
      <w:r>
        <w:rPr>
          <w:b/>
        </w:rPr>
        <w:t>Results</w:t>
      </w:r>
      <w:r>
        <w:t>:</w:t>
      </w:r>
      <w:r w:rsidR="008123D4">
        <w:t xml:space="preserve"> </w:t>
      </w:r>
      <w:r w:rsidR="004E2100" w:rsidRPr="004E2100">
        <w:t>Five out of six patients (83.3%) were classified as responders, achieving complete</w:t>
      </w:r>
      <w:r w:rsidR="00971079">
        <w:t xml:space="preserve"> significant bladder capacity increase,</w:t>
      </w:r>
      <w:r w:rsidR="004E2100" w:rsidRPr="004E2100">
        <w:t xml:space="preserve"> clinical dryness</w:t>
      </w:r>
      <w:r w:rsidR="00971079">
        <w:t xml:space="preserve"> and </w:t>
      </w:r>
      <w:r w:rsidR="004E2100" w:rsidRPr="004E2100">
        <w:t>resolution of baseline hydronephrosis</w:t>
      </w:r>
      <w:r w:rsidR="00971079">
        <w:t>.</w:t>
      </w:r>
      <w:r w:rsidR="004E2100" w:rsidRPr="004E2100">
        <w:t xml:space="preserve"> </w:t>
      </w:r>
      <w:r w:rsidR="00971079">
        <w:t>These</w:t>
      </w:r>
      <w:r w:rsidR="004E2100" w:rsidRPr="004E2100">
        <w:t xml:space="preserve"> patients reported significant improvements in school and social participation. One patient, characterized by the longest duration of symptoms (7 years), remained non-responsive</w:t>
      </w:r>
      <w:r w:rsidR="00971079">
        <w:t xml:space="preserve"> and showed only minor improvement in the bladder capacity</w:t>
      </w:r>
      <w:r w:rsidR="004E2100" w:rsidRPr="004E2100">
        <w:t>. Safety monitoring showed that PVR volumes remained within acceptable limits for all patients, with no cases of persistent urinary retention.</w:t>
      </w:r>
    </w:p>
    <w:p w14:paraId="5A6BB5AD" w14:textId="3EC3C439" w:rsidR="00AE1846" w:rsidRDefault="00DD1C75" w:rsidP="004E2100">
      <w:pPr>
        <w:ind w:right="14"/>
      </w:pPr>
      <w:r>
        <w:rPr>
          <w:b/>
        </w:rPr>
        <w:t xml:space="preserve">Conclusion: </w:t>
      </w:r>
      <w:r w:rsidR="004E2100" w:rsidRPr="004E2100">
        <w:t>Intradetrusor BTX-A is a safe and highly effective intervention for pediatric patients with refractory OAB.</w:t>
      </w:r>
      <w:r w:rsidR="004E2100">
        <w:t xml:space="preserve"> More evidence is required to fully explore its long-term efficacy and safety.</w:t>
      </w:r>
    </w:p>
    <w:p w14:paraId="23120ACC" w14:textId="2C5B11B9" w:rsidR="00B429EA" w:rsidRDefault="00DD1C75" w:rsidP="000522BF">
      <w:pPr>
        <w:ind w:right="14"/>
        <w:rPr>
          <w:rtl/>
          <w:lang w:bidi="ar-EG"/>
        </w:rPr>
      </w:pPr>
      <w:r>
        <w:rPr>
          <w:b/>
        </w:rPr>
        <w:t xml:space="preserve">Keywords: </w:t>
      </w:r>
      <w:r w:rsidR="000522BF" w:rsidRPr="000522BF">
        <w:t>Pediatrics; Overactive Bladder; Botulinum Toxin A; Urodynamics; Incontinence.</w:t>
      </w:r>
    </w:p>
    <w:p w14:paraId="68EEA812" w14:textId="77777777" w:rsidR="00633DF2" w:rsidRDefault="00633DF2" w:rsidP="00DC11CA">
      <w:pPr>
        <w:pStyle w:val="Heading2"/>
        <w:spacing w:after="209"/>
        <w:ind w:left="0" w:right="6182"/>
        <w:rPr>
          <w:sz w:val="28"/>
          <w:szCs w:val="28"/>
          <w:u w:val="none"/>
        </w:rPr>
      </w:pPr>
      <w:r w:rsidRPr="00633DF2">
        <w:rPr>
          <w:sz w:val="28"/>
          <w:szCs w:val="28"/>
          <w:u w:val="none"/>
        </w:rPr>
        <w:lastRenderedPageBreak/>
        <w:t>Introduction</w:t>
      </w:r>
    </w:p>
    <w:p w14:paraId="11425998" w14:textId="76504075" w:rsidR="009F1ED5" w:rsidRDefault="00AB5D9B" w:rsidP="00FF288D">
      <w:r w:rsidRPr="00AB5D9B">
        <w:t>Overactive bladder (OAB) represents a significant source of morbidity in the pediatric population, characterized by urgency, frequency, and urinary incontinence that can severely impact quality of life</w:t>
      </w:r>
      <w:r w:rsidR="00FF288D">
        <w:t xml:space="preserve"> </w:t>
      </w:r>
      <w:r w:rsidR="00FF288D">
        <w:fldChar w:fldCharType="begin"/>
      </w:r>
      <w:r w:rsidR="00FF288D">
        <w:instrText xml:space="preserve"> ADDIN ZOTERO_ITEM CSL_CITATION {"citationID":"xYaVmwbN","properties":{"formattedCitation":"(1)","plainCitation":"(1)","noteIndex":0},"citationItems":[{"id":20850,"uris":["http://zotero.org/groups/6381329/items/YGGHDDDV"],"itemData":{"id":20850,"type":"article-journal","abstract":"Overactive bladder syndrome is a chronic, disabling condition with physical, psychological and social consequences that significantly affects the quality of life of millions of patients worldwide. The economic impact of this disorder is crucial. Overactive bladder syndrome is a little-known condition, with different manifestations from patient to patient, which causes a great deal of frustration to the medical staff involved. The patient requires a clear explanation and the full support of the attending physician. It is extremely important to establish a correct diagnosis and an effective individualized treatment. The collaboration and understanding of these patients are extremely important aspects. Improving the quality of life in these patients is the main purpose in managing this condition. There are several treatment modalities that may be used progressively, with favorable albeit inconsistent results. This condition remains extremely challenging for specialists and, unfortunately, always one of maximum interest.","container-title":"Experimental and Therapeutic Medicine","DOI":"10.3892/etm.2021.10879","ISSN":"1792-0981","issue":"6","journalAbbreviation":"Exp Ther Med","page":"1444","PMID":"34721686","PMCID":"PMC8549091","source":"PubMed Central","title":"Overactive bladder: A review and update","title-short":"Overactive bladder","volume":"22","author":[{"family":"Scarneciu","given":"Ioan"},{"family":"Lupu","given":"Sorin"},{"family":"Bratu","given":"Ovidiu Gabriel"},{"family":"Teodorescu","given":"Andreea"},{"family":"Maxim","given":"Laurian Stefan"},{"family":"Brinza","given":"Adrian"},{"family":"Laculiceanu","given":"Alexandru Georgian"},{"family":"Rotaru","given":"Ruxandra Maria"},{"family":"Lupu","given":"Aura-Mihaela"},{"family":"Scarneciu","given":"Camelia Cornelia"}],"issued":{"date-parts":[["2021",12]]}}}],"schema":"https://github.com/citation-style-language/schema/raw/master/csl-citation.json"} </w:instrText>
      </w:r>
      <w:r w:rsidR="00FF288D">
        <w:fldChar w:fldCharType="separate"/>
      </w:r>
      <w:r w:rsidR="00FF288D" w:rsidRPr="00FF288D">
        <w:t>(1)</w:t>
      </w:r>
      <w:r w:rsidR="00FF288D">
        <w:fldChar w:fldCharType="end"/>
      </w:r>
      <w:r w:rsidRPr="00AB5D9B">
        <w:t>. Standard care for OAB typically depends on behavioral modification alongside conventional pharmacological agents like anticholinergics and beta-3 agonists</w:t>
      </w:r>
      <w:r w:rsidR="00FF288D">
        <w:t xml:space="preserve"> </w:t>
      </w:r>
      <w:r w:rsidR="00FF288D">
        <w:fldChar w:fldCharType="begin"/>
      </w:r>
      <w:r w:rsidR="00FF288D">
        <w:instrText xml:space="preserve"> ADDIN ZOTERO_ITEM CSL_CITATION {"citationID":"hqzyWg6F","properties":{"formattedCitation":"(2)","plainCitation":"(2)","noteIndex":0},"citationItems":[{"id":20852,"uris":["http://zotero.org/groups/6381329/items/Y2BK92PB"],"itemData":{"id":20852,"type":"article-journal","abstract":"Overactive bladder (OAB) syndrome is a chronic medical condition which has a major influence on the quality of life in a significant amount of the population. OAB affects performance of daily activities and has an estimated prevalence of 16.5%. Many sufferers do not seek medical help. Moreover, many family physicians and even gynecologists are not familiar with this issue. Usually patients suffer from OAB in advanced age. Nocturia is reported as the most bothersome symptom in the elderly population. The aim of our review was to discuss all aspects of this challenging disorder and suggest tools for assessment and management strategies. Practitioners can easily overlook urinary complains if they not directly queried. We would like to encourage practitioners to give more attention to this issue.","container-title":"Current Urology","DOI":"10.1159/000447205","ISSN":"1661-7649","issue":"3","journalAbbreviation":"Curr Urol","page":"117-125","PMID":"29692690","PMCID":"PMC5903463","source":"PubMed Central","title":"Overactive Bladder Syndrome: Evaluation and Management","title-short":"Overactive Bladder Syndrome","volume":"11","author":[{"family":"Leron","given":"Elad"},{"family":"Weintraub","given":"Adi Y."},{"family":"Mastrolia","given":"Salvatore A."},{"family":"Schwarzman","given":"Polina"}],"issued":{"date-parts":[["2018",3]]}}}],"schema":"https://github.com/citation-style-language/schema/raw/master/csl-citation.json"} </w:instrText>
      </w:r>
      <w:r w:rsidR="00FF288D">
        <w:fldChar w:fldCharType="separate"/>
      </w:r>
      <w:r w:rsidR="00FF288D" w:rsidRPr="00FF288D">
        <w:t>(2)</w:t>
      </w:r>
      <w:r w:rsidR="00FF288D">
        <w:fldChar w:fldCharType="end"/>
      </w:r>
      <w:r w:rsidRPr="00AB5D9B">
        <w:t>. While the majority of the patients respond well to these treatments, there is still a considerable subset of children that remain refractory to these conservative measures</w:t>
      </w:r>
      <w:r w:rsidR="00FF288D">
        <w:t xml:space="preserve"> </w:t>
      </w:r>
      <w:r w:rsidR="00FF288D">
        <w:fldChar w:fldCharType="begin"/>
      </w:r>
      <w:r w:rsidR="00FF288D">
        <w:instrText xml:space="preserve"> ADDIN ZOTERO_ITEM CSL_CITATION {"citationID":"5w5DQdWw","properties":{"formattedCitation":"(3)","plainCitation":"(3)","noteIndex":0},"citationItems":[{"id":20854,"uris":["http://zotero.org/groups/6381329/items/3A743DPH"],"itemData":{"id":20854,"type":"article-journal","abstract":"INTRODUCTION AND HYPOTHESIS: This systematic review and meta-analysis aim to evaluate the outcomes between SNM and BTX in the treatment of refractory OAB.\nMETHODS: PubMed, Embase, and CENTRAL were comprehensively searched from their inception to December 2019. Randomized and nonrandomized controlled trials evaluating OAB patients who underwent SNM and BTX were included. Data extraction and quality assessment were conducted by two independent reviewers. The outcomes, side effects, and cost-effectiveness values of both procedures were compared in meta-analysis.\nRESULTS: This review involved six articles (2629 patients). Specifically, three articles were based on the same trial, and the other studies were retrospective cohort studies. No significant difference was found in successful treatment between BTX and SNM at 6 months after procedures [risk ratio (RR) = 0.93, 95% confidence interval (CI) 0.63-1.39]. BTX exhibited a significantly higher total adverse event rate than SNM through 6 months (RR = 1.55, 95% CI 1.28-1.88). Patients suffered more urinary tract infection (UTI) risk under BTX injection at the early stage (RR = 1.58, 95% CI 1.10-2.25); however, the difference in UTI events was not significant between the two groups (RR = 1.13, 95% CI 1.10-2.25) during the period of 7-12 months postoperatively. Obviously, the short-term cost (1-2 years) of BTX was significantly lower than that of the SNM procedure.\nCONCLUSIONS: Both treatments were effective; however, because of the high complication rate of BTX, it may not be a better way to treat refractory OAB than SNM, although BTX is more cost-effective for short-term treatment at present.","container-title":"International Urogynecology Journal","DOI":"10.1007/s00192-020-04427-w","ISSN":"1433-3023","issue":"3","journalAbbreviation":"Int Urogynecol J","language":"eng","page":"477-484","PMID":"32661556","source":"PubMed","title":"Treatment for refractory overactive bladder: a systematic review and meta-analysis of sacral neuromodulation and onabotulinumtoxinA","title-short":"Treatment for refractory overactive bladder","volume":"32","author":[{"family":"He","given":"Qing"},{"family":"Li","given":"Boya"},{"family":"Zhang","given":"Chi"},{"family":"Zhang","given":"Jie"},{"family":"Luo","given":"Deyi"},{"family":"Wang","given":"Kunjie"}],"issued":{"date-parts":[["2021",3]]}}}],"schema":"https://github.com/citation-style-language/schema/raw/master/csl-citation.json"} </w:instrText>
      </w:r>
      <w:r w:rsidR="00FF288D">
        <w:fldChar w:fldCharType="separate"/>
      </w:r>
      <w:r w:rsidR="00FF288D" w:rsidRPr="00FF288D">
        <w:t>(3)</w:t>
      </w:r>
      <w:r w:rsidR="00FF288D">
        <w:fldChar w:fldCharType="end"/>
      </w:r>
      <w:r w:rsidRPr="00AB5D9B">
        <w:t>. For these treatment-resistant patients, more invasive techniques are introduced, including the intra</w:t>
      </w:r>
      <w:r>
        <w:t>-</w:t>
      </w:r>
      <w:r w:rsidRPr="00AB5D9B">
        <w:t>detrusor injection of onabotulinumtoxinA (BTX-A). Emerging as a critical, minimally invasive alternative, this modality can reduce detrusor overactivity without the need for immediate major reconstructive surgery via its mechanism to inhibit acetylcholine release</w:t>
      </w:r>
      <w:r w:rsidR="00FF288D">
        <w:t xml:space="preserve"> </w:t>
      </w:r>
      <w:r w:rsidR="00FF288D">
        <w:fldChar w:fldCharType="begin"/>
      </w:r>
      <w:r w:rsidR="00FF288D">
        <w:instrText xml:space="preserve"> ADDIN ZOTERO_ITEM CSL_CITATION {"citationID":"Qi9F1s5r","properties":{"formattedCitation":"(3,4)","plainCitation":"(3,4)","noteIndex":0},"citationItems":[{"id":20854,"uris":["http://zotero.org/groups/6381329/items/3A743DPH"],"itemData":{"id":20854,"type":"article-journal","abstract":"INTRODUCTION AND HYPOTHESIS: This systematic review and meta-analysis aim to evaluate the outcomes between SNM and BTX in the treatment of refractory OAB.\nMETHODS: PubMed, Embase, and CENTRAL were comprehensively searched from their inception to December 2019. Randomized and nonrandomized controlled trials evaluating OAB patients who underwent SNM and BTX were included. Data extraction and quality assessment were conducted by two independent reviewers. The outcomes, side effects, and cost-effectiveness values of both procedures were compared in meta-analysis.\nRESULTS: This review involved six articles (2629 patients). Specifically, three articles were based on the same trial, and the other studies were retrospective cohort studies. No significant difference was found in successful treatment between BTX and SNM at 6 months after procedures [risk ratio (RR) = 0.93, 95% confidence interval (CI) 0.63-1.39]. BTX exhibited a significantly higher total adverse event rate than SNM through 6 months (RR = 1.55, 95% CI 1.28-1.88). Patients suffered more urinary tract infection (UTI) risk under BTX injection at the early stage (RR = 1.58, 95% CI 1.10-2.25); however, the difference in UTI events was not significant between the two groups (RR = 1.13, 95% CI 1.10-2.25) during the period of 7-12 months postoperatively. Obviously, the short-term cost (1-2 years) of BTX was significantly lower than that of the SNM procedure.\nCONCLUSIONS: Both treatments were effective; however, because of the high complication rate of BTX, it may not be a better way to treat refractory OAB than SNM, although BTX is more cost-effective for short-term treatment at present.","container-title":"International Urogynecology Journal","DOI":"10.1007/s00192-020-04427-w","ISSN":"1433-3023","issue":"3","journalAbbreviation":"Int Urogynecol J","language":"eng","page":"477-484","PMID":"32661556","source":"PubMed","title":"Treatment for refractory overactive bladder: a systematic review and meta-analysis of sacral neuromodulation and onabotulinumtoxinA","title-short":"Treatment for refractory overactive bladder","volume":"32","author":[{"family":"He","given":"Qing"},{"family":"Li","given":"Boya"},{"family":"Zhang","given":"Chi"},{"family":"Zhang","given":"Jie"},{"family":"Luo","given":"Deyi"},{"family":"Wang","given":"Kunjie"}],"issued":{"date-parts":[["2021",3]]}},"label":"page"},{"id":20856,"uris":["http://zotero.org/groups/6381329/items/QXLFZ6RH"],"itemData":{"id":20856,"type":"article-journal","abstract":"Overactive bladder (OAB) is a common condition affecting one-sixth to one-fifth of the global population. The treatment of refractory OAB remains a challenge for urologists. Current treatment options include the use of combination therapy with antimuscarinic agents and beta-3 adrenoceptor agonists, and treating underlying curable disorders. Intravesical botulinum toxin type A (BoNT-A) injection, percutaneous tibial nerve stimulation, and sacral nerve stimulation are third-line management therapies suggested by the American Urological Association/Society of Urodynamics, Female Pelvic Medicine &amp; Urogenital Reconstruction (AUA/SUFU) guidelines. In rare cases, more invasive surgical interventions can be considered after explaining the benefits and risks to the patients. Augmentation cystoplasty has a high success rate; however, it has also been associated with a high complication rate. In contrast, detrusor myomectomy is an easy procedure, but the treatment outcome remains controversial. Liposome-encapsulated BoNT-A is administered via bladder instillation, and promising results have been obtained in preliminary studies. More therapies are currently being investigated, and transient receptor potential vanilloid 1 antagonists may be new type of medication. Radiofrequency ablation and other targets for neuromodulation have also been studied; however, more evidence is needed to confirm their efficacy.","container-title":"Lower Urinary Tract Symptoms","DOI":"10.1111/luts.12304","ISSN":"1757-5672","issue":"2","journalAbbreviation":"Low Urin Tract Symptoms","language":"eng","page":"109-116","PMID":"32073742","source":"PubMed","title":"Current management of refractory overactive bladder","volume":"12","author":[{"family":"Chen","given":"Li-Chen"},{"family":"Kuo","given":"Hann-Chorng"}],"issued":{"date-parts":[["2020",5]]}},"label":"page"}],"schema":"https://github.com/citation-style-language/schema/raw/master/csl-citation.json"} </w:instrText>
      </w:r>
      <w:r w:rsidR="00FF288D">
        <w:fldChar w:fldCharType="separate"/>
      </w:r>
      <w:r w:rsidR="00FF288D" w:rsidRPr="00FF288D">
        <w:t>(3,4)</w:t>
      </w:r>
      <w:r w:rsidR="00FF288D">
        <w:fldChar w:fldCharType="end"/>
      </w:r>
      <w:r w:rsidRPr="00AB5D9B">
        <w:t>.</w:t>
      </w:r>
    </w:p>
    <w:p w14:paraId="6F2740B5" w14:textId="00FE5B4B" w:rsidR="00AB5D9B" w:rsidRPr="003814CB" w:rsidRDefault="00783A52" w:rsidP="00482B56">
      <w:r w:rsidRPr="00783A52">
        <w:t>Data regarding the efficacy and safety of BTX-A injection in the bladder is still evolving and the body of evidence is still growing</w:t>
      </w:r>
      <w:r w:rsidR="00FF288D">
        <w:t xml:space="preserve"> </w:t>
      </w:r>
      <w:r w:rsidR="00FF288D">
        <w:fldChar w:fldCharType="begin"/>
      </w:r>
      <w:r w:rsidR="00FF288D">
        <w:instrText xml:space="preserve"> ADDIN ZOTERO_ITEM CSL_CITATION {"citationID":"lXivWjpF","properties":{"formattedCitation":"(5)","plainCitation":"(5)","noteIndex":0},"citationItems":[{"id":20858,"uris":["http://zotero.org/groups/6381329/items/EJ2P7D2Z"],"itemData":{"id":20858,"type":"article-journal","abstract":"Neurogenic bladder dysfunction (NB) represents a challenge in pediatric urology. Intravesical botulin toxin-A (BTX-A) bladder injection is part of the armamentarium for the treatment of this condition, usually after failed first-line medical strategies and before the escalation to more invasive options such as neuromodulation or augmented cystoplasty in severe cases. However, there is still a lack of consensus about the appropriate treatment modality for the pediatric population. A review of the last 10 years’ research was performed on the PubMed database by two authors. Articles doubly selected and meeting the inclusion criteria were collected and analyzed for their study type, demographics, neurological disease(s) at diagnosis, BTX-A treatment modality and duration, previous treatment, clinical and urodynamic parameters, adverse events, outcomes, and follow-ups. A total of 285 studies were initially selected, 16 of which matched the inclusion criteria. A cohort of 630 patients was treated with BTX-A at a median age of 9.7 years, 40% of which had a diagnosis of myelomeningocele. The results of the selected publications show the overall efficacy and safety of BTX-A injections in children and confirmed BTX-A as a valuable strategy for NB treatment in pediatric population. Nevertheless, up to now, the literature on this topic offers scarce uniformity among the published series and poor protocol standardization.","container-title":"Toxins","DOI":"10.3390/toxins16080339","ISSN":"2072-6651","issue":"8","journalAbbreviation":"Toxins (Basel)","page":"339","PMID":"39195749","PMCID":"PMC11360726","source":"PubMed Central","title":"Intravesical Botulin Toxin-A Injections for Neurogenic Bladder Dysfunction in Children: Summary Update on Last 10 Years of Research","title-short":"Intravesical Botulin Toxin-A Injections for Neurogenic Bladder Dysfunction in Children","volume":"16","author":[{"family":"Zulli","given":"Andrea"},{"family":"Carletti","given":"Virginia"},{"family":"Mantovani","given":"Alberto"},{"family":"Cerruto","given":"Maria Angela"},{"family":"Giacomello","given":"Luca"}],"issued":{"date-parts":[["2024",8,1]]}}}],"schema":"https://github.com/citation-style-language/schema/raw/master/csl-citation.json"} </w:instrText>
      </w:r>
      <w:r w:rsidR="00FF288D">
        <w:fldChar w:fldCharType="separate"/>
      </w:r>
      <w:r w:rsidR="00FF288D" w:rsidRPr="00FF288D">
        <w:t>(5)</w:t>
      </w:r>
      <w:r w:rsidR="00FF288D">
        <w:fldChar w:fldCharType="end"/>
      </w:r>
      <w:r w:rsidRPr="00783A52">
        <w:t>. While initial preliminary data show potential improvements after the injection, a more wide-spread reflection of the available data reveals a variable clinical response that can be unpredictable, with some patients achieving complete dryness while others show minimal improvement</w:t>
      </w:r>
      <w:r w:rsidR="00FF288D">
        <w:t xml:space="preserve"> </w:t>
      </w:r>
      <w:r w:rsidR="00FF288D">
        <w:fldChar w:fldCharType="begin"/>
      </w:r>
      <w:r w:rsidR="00FF288D">
        <w:instrText xml:space="preserve"> ADDIN ZOTERO_ITEM CSL_CITATION {"citationID":"TfSDoru8","properties":{"formattedCitation":"(6,7)","plainCitation":"(6,7)","noteIndex":0},"citationItems":[{"id":20860,"uris":["http://zotero.org/groups/6381329/items/G4KPFUSS"],"itemData":{"id":20860,"type":"article-journal","abstract":"INTRODUCTION: Botulinum toxin-A (BtA) has been used for refractory idiopathic overactive bladder (IOAB) in children. Data on the optimum dose success rates, duration of effect, complications and medium-term outcomes are limited. This study aims to analyse the authors' experience to provide medium-term results of BtA in symptomatic refractory patients.\nMATERIALS AND METHODS: Patients with refractory IOAB who were treated with BtA (Botox®) were retrospectively analysed. All patients had urodynamic study before treating with BtA. Group A had low-dose BtA (LDBtA) at 5 units/kg (maximum 150 units), and Group B had high-dose BtA (HDBtA) at 10 units/kg (maximum 300 Units). Post-BtA clinical response, functional bladder capacity (FBC) and postvoid residual (PVR) were assessed in addition to the duration of response.\nRESULTS: Thirty-nine patients, 11 male and 28 female, were analysed. Forty-six percentage had symptom improvement (73% of males and 36% of females [P = 0.072, ns]). The difference in response rates between LDBtA and HDBtA was not statistically significant (P = 0.684). Increase in total bladder capacity (TBC) was greater in those given HDBtA (P ≤ 0.001), but the increase in FBC was not different between the groups, due to greater PVRs in the HDBtA group. Nine patients (23%) developed UTI; however, six of these patients suffered with UTI pre-BtA as well. Only three were asymptomatic after a single treatment with BtA. The remainder required further BtA or oral anticholinergic therapy. At a median follow-up of 35.4 months (interquartile range [IQR] 25.2-46.6), 12 (31%) were asymptomatic and off all therapy, 18 (46%) were still symptomatic despite therapy and 9 (23%) had their symptoms controlled on continuing treatment.\nDISCUSSION AND CONCLUSIONS: Botulinum toxin-A improves symptoms in 46% of children after the first injection in refractory IOAB. Although HDBtA resulted in greater increase in bladder capacity, it conferred no advantage in terms of success rate or duration of response. Five units/kg may be an optimum dose to use as a first treatment with the understanding that some patients will require a higher dose. And, there will be a cohort of patients who need a dose lower than 5 units/kg. A higher dose is more likely to lead to PVR leading to urine stasis and UTIs. The success of BtA only lasts until its effect wears off, and the majority of this cohort (36/39) required continuing treatment with repeat BtA or anticholinergic agents. However, it remains a useful option in patients who are intolerant or unresponsive to anticholinergic medication with symptomatic resolution in 30% at medium-term follow-up.","container-title":"Journal of Pediatric Urology","DOI":"10.1016/j.jpurol.2018.08.007","ISSN":"1873-4898","issue":"1","journalAbbreviation":"J Pediatr Urol","language":"eng","page":"32.e1-32.e5","PMID":"30224301","source":"PubMed","title":"Onabotulinum toxin A in children with refractory idiopathic overactive bladder: medium-term outcomes","title-short":"Onabotulinum toxin A in children with refractory idiopathic overactive bladder","volume":"15","author":[{"family":"Ingham","given":"J."},{"family":"Angotti","given":"R."},{"family":"Lewis","given":"M."},{"family":"Goyal","given":"A."}],"issued":{"date-parts":[["2019",2]]}},"label":"page"},{"id":20862,"uris":["http://zotero.org/groups/6381329/items/GEBHKHGM"],"itemData":{"id":20862,"type":"article-journal","abstract":"Initial urologic management of pediatric neurogenic lower urinary tract dysfunction (NLUTD) includes clean intermittent catheterization (CIC) regimen and use of anticholinergic or beta3 agonist medications. Historically, NLUTD that did not respond to these initial management strategies received open surgical procedures such as augmentation cystoplasty (AC) to increase bladder capacity and create a lower-pressure reservoir. Since its first reported use in 2002, intradetrusor onabotulinumtoxinA (BTX-A) injections has developed an emerging role in management of pediatric NLUTD, culminating in its recent FDA-approval in 2021. In this review, the current evidence regarding the safety, tolerability, and efficacy of BTX-A use in pediatric NLUTD will be summarized. Additionally, we will attempt to define the current role of BTX-A in the management of patients with NLUTD, discuss limitations to the current body of literature, and suggest future avenues of study.","container-title":"Frontiers in Pediatrics","DOI":"10.3389/fped.2024.1407009","ISSN":"2296-2360","journalAbbreviation":"Front Pediatr","page":"1407009","PMID":"38887561","PMCID":"PMC11180881","source":"PubMed Central","title":"OnabotulinumtoxinA is now an important tool for managing pediatric neurogenic lower urinary tract dysfunction","volume":"12","author":[{"family":"Frainey","given":"Brendan T."},{"family":"Clayton","given":"Douglass B."}],"issued":{"date-parts":[["2024",6,3]]}},"label":"page"}],"schema":"https://github.com/citation-style-language/schema/raw/master/csl-citation.json"} </w:instrText>
      </w:r>
      <w:r w:rsidR="00FF288D">
        <w:fldChar w:fldCharType="separate"/>
      </w:r>
      <w:r w:rsidR="00FF288D" w:rsidRPr="00FF288D">
        <w:t>(6,7)</w:t>
      </w:r>
      <w:r w:rsidR="00FF288D">
        <w:fldChar w:fldCharType="end"/>
      </w:r>
      <w:r w:rsidRPr="00783A52">
        <w:t>.</w:t>
      </w:r>
      <w:r w:rsidR="00FF288D">
        <w:t xml:space="preserve"> </w:t>
      </w:r>
      <w:r w:rsidRPr="00783A52">
        <w:t xml:space="preserve"> Thus, identifying which patients are most likely to benefit still remains a key clinical challenge. </w:t>
      </w:r>
      <w:r w:rsidR="00482B56" w:rsidRPr="00482B56">
        <w:t>This case series presents the clinical outcomes of 6 children with refractory OAB who were treated with BTX-A at our center. By focusing on clinical markers such as incontinence resolution, hydronephrosis, and quality of life (QoL), we aim to illustrate the practical efficacy of this therapy in a real-world clinical setting.</w:t>
      </w:r>
    </w:p>
    <w:p w14:paraId="3C83FA88" w14:textId="16B1456E" w:rsidR="009A3EEC" w:rsidRPr="004161FA" w:rsidRDefault="009A3EEC" w:rsidP="00DC11CA">
      <w:pPr>
        <w:spacing w:line="259" w:lineRule="auto"/>
        <w:rPr>
          <w:b/>
          <w:bCs/>
          <w:sz w:val="28"/>
          <w:szCs w:val="28"/>
        </w:rPr>
      </w:pPr>
      <w:r w:rsidRPr="004161FA">
        <w:rPr>
          <w:b/>
          <w:bCs/>
          <w:sz w:val="28"/>
          <w:szCs w:val="28"/>
        </w:rPr>
        <w:t>Methodology</w:t>
      </w:r>
    </w:p>
    <w:p w14:paraId="0F9296BD" w14:textId="3FD8F42C" w:rsidR="0024695C" w:rsidRPr="0024695C" w:rsidRDefault="0024695C" w:rsidP="007C44FB">
      <w:pPr>
        <w:rPr>
          <w:b/>
          <w:bCs/>
        </w:rPr>
      </w:pPr>
      <w:r w:rsidRPr="0024695C">
        <w:rPr>
          <w:b/>
          <w:bCs/>
        </w:rPr>
        <w:t>Study Design and Ethical Considerations</w:t>
      </w:r>
    </w:p>
    <w:p w14:paraId="72920228" w14:textId="3D981CB8" w:rsidR="007C44FB" w:rsidRDefault="007C44FB" w:rsidP="007C44FB">
      <w:r w:rsidRPr="007C44FB">
        <w:t>This was a case series study exploring the clinical outcomes of 6 pediatric patients who were diagnosed with refractory OAB and indicated to receive intradetursor BTX-A injection at Benha University Hospital. Ethical approval to conduct this study was obtained from our local Ethical Committee and written informed consent was legal obtained from the guardians of each participant prior to being enrolled in the study.</w:t>
      </w:r>
    </w:p>
    <w:p w14:paraId="22F65E8D" w14:textId="25ED1A75" w:rsidR="007C44FB" w:rsidRPr="007C44FB" w:rsidRDefault="0024695C" w:rsidP="0024695C">
      <w:r w:rsidRPr="0024695C">
        <w:rPr>
          <w:b/>
          <w:bCs/>
        </w:rPr>
        <w:t>Patient Selection and Criteria</w:t>
      </w:r>
    </w:p>
    <w:p w14:paraId="7C357AEC" w14:textId="4F208E63" w:rsidR="008E7DCC" w:rsidRDefault="0024695C" w:rsidP="006A4ADF">
      <w:pPr>
        <w:spacing w:line="259" w:lineRule="auto"/>
      </w:pPr>
      <w:r w:rsidRPr="0024695C">
        <w:t>The series includes children aged 10–16 years who remained symptomatic despite standard behavioral modifications and at least two pharmacological trials (anticholinergics or beta-3 agonists). To focus specifically on functional bladder pathology, patients with neurogenic etiologies (e.g., spina bifida), active urinary tract infections, or previous reconstructive bladder surgery were excluded.</w:t>
      </w:r>
    </w:p>
    <w:p w14:paraId="12EEC15D" w14:textId="646826C4" w:rsidR="0024695C" w:rsidRDefault="0024695C" w:rsidP="0024695C">
      <w:r>
        <w:rPr>
          <w:b/>
          <w:bCs/>
        </w:rPr>
        <w:t>Procedural Details</w:t>
      </w:r>
    </w:p>
    <w:p w14:paraId="40100BF0" w14:textId="0AEAE3E9" w:rsidR="00F62660" w:rsidRDefault="006A4ADF" w:rsidP="006A4ADF">
      <w:pPr>
        <w:spacing w:line="259" w:lineRule="auto"/>
      </w:pPr>
      <w:r w:rsidRPr="006A4ADF">
        <w:t>All patients underwent a standardized injection procedure under general anesthesia. A rigid cystoscope was used to deliver intradetrusor injections of onabotulinumtoxinA (Botox®), reconstituted in sterile saline. Injections were distributed across 20 sites in the posterior and lateral bladder walls, sparing the trigone to avoid reflux. Dosing was weight-adjusted (maximum 300 U), consistent with standard pediatric protocols. Post-procedure, patients were monitored for retention and discharged once spontaneous voiding was confirmed or clean intermittent catheterization (CIC) was established.</w:t>
      </w:r>
    </w:p>
    <w:p w14:paraId="76B68168" w14:textId="031BECA1" w:rsidR="0024695C" w:rsidRDefault="0024695C" w:rsidP="0024695C">
      <w:pPr>
        <w:spacing w:line="259" w:lineRule="auto"/>
      </w:pPr>
      <w:r w:rsidRPr="0024695C">
        <w:rPr>
          <w:b/>
          <w:bCs/>
        </w:rPr>
        <w:lastRenderedPageBreak/>
        <w:t>Follow-up and Outcome Variables</w:t>
      </w:r>
    </w:p>
    <w:p w14:paraId="2EE4129C" w14:textId="2A46736D" w:rsidR="0024695C" w:rsidRDefault="0024695C" w:rsidP="00EF4B8C">
      <w:pPr>
        <w:spacing w:line="259" w:lineRule="auto"/>
      </w:pPr>
      <w:r w:rsidRPr="0024695C">
        <w:t>Clinical evaluation was performed at baseline and at a 3-month follow-up visit. The primary focus was on clinical symptom resolution.</w:t>
      </w:r>
      <w:r w:rsidR="00EF4B8C">
        <w:t xml:space="preserve"> </w:t>
      </w:r>
      <w:r w:rsidR="00EF4B8C" w:rsidRPr="00EF4B8C">
        <w:t>Clinical continence was defined as the presence or complete resolution of urinary incontinence, radiological status was determined by the presence or resolution of hydronephrosis via imaging, safety monitoring utilized PVR volume measurements after the procedure to assess the development of urinary retention.</w:t>
      </w:r>
      <w:r w:rsidR="00EF4B8C">
        <w:t xml:space="preserve"> </w:t>
      </w:r>
    </w:p>
    <w:p w14:paraId="23742C40" w14:textId="615F2320" w:rsidR="009269BA" w:rsidRDefault="009269BA" w:rsidP="00EF4B8C">
      <w:pPr>
        <w:spacing w:line="259" w:lineRule="auto"/>
      </w:pPr>
      <w:r w:rsidRPr="009269BA">
        <w:t xml:space="preserve">The impact on </w:t>
      </w:r>
      <w:r>
        <w:t>QoL</w:t>
      </w:r>
      <w:r w:rsidRPr="009269BA">
        <w:t xml:space="preserve"> was measured through a structured clinical interview with both the patient and their caregivers, focusing on social participation, school attendance, and psychological well-being. These outcomes were categorized into three grades: Significant, indicating complete dryness and a full return to daily activities without the need for protective pads; Moderate, representing a notable reduction in leakage and improved social confidence despite occasional urgency; and Minimal, denoting persistent symptoms with no meaningful change in daily routines.</w:t>
      </w:r>
    </w:p>
    <w:p w14:paraId="2B25588C" w14:textId="627C8BB3" w:rsidR="00CE65CE" w:rsidRDefault="00CE65CE" w:rsidP="00DC11CA">
      <w:pPr>
        <w:spacing w:line="259" w:lineRule="auto"/>
        <w:rPr>
          <w:b/>
        </w:rPr>
      </w:pPr>
      <w:r>
        <w:rPr>
          <w:b/>
        </w:rPr>
        <w:t>Statistical Analysis</w:t>
      </w:r>
    </w:p>
    <w:p w14:paraId="29126983" w14:textId="076A81A7" w:rsidR="00EF3310" w:rsidRDefault="0024695C" w:rsidP="0024695C">
      <w:r w:rsidRPr="0024695C">
        <w:t>Descriptive statistics were used to summarize the data with continuous variables (age, symptom duration, and PVR) presented as means or ranges, while categorical variables (incontinence and hydronephrosis) were expressed as frequencies and percentages.</w:t>
      </w:r>
    </w:p>
    <w:p w14:paraId="6D59C8DF" w14:textId="73CA0AEF" w:rsidR="00B429EA" w:rsidRPr="00037F4B" w:rsidRDefault="004161FA" w:rsidP="00DC11CA">
      <w:pPr>
        <w:spacing w:after="17" w:line="259" w:lineRule="auto"/>
        <w:rPr>
          <w:bCs/>
        </w:rPr>
      </w:pPr>
      <w:r w:rsidRPr="004161FA">
        <w:rPr>
          <w:b/>
          <w:bCs/>
          <w:sz w:val="28"/>
          <w:szCs w:val="28"/>
        </w:rPr>
        <w:t>Results</w:t>
      </w:r>
    </w:p>
    <w:p w14:paraId="5A71929C" w14:textId="4E554C63" w:rsidR="007C44FB" w:rsidRPr="007C44FB" w:rsidRDefault="007C44FB" w:rsidP="007C44FB">
      <w:r w:rsidRPr="007C44FB">
        <w:t>The analysis of this study included 6 pediatric patients with a mean age of 13.5, ranging from 11 to 16 years old. Three were females and three were males. All patients had a long-standing history of overactive bladder with a mean disease duration of 4.8 years old, and each of the patients had a history of at least failed two conservative pharmacological agents, including anticholinergics and beta-3 agonists. After the BTX-A injection, five of the six treated cases achieved clinical response at the 3-month follow-up, which included complete clinical resolution of urinary incontinence and radiological resolution of hydronephrosis (present in 3 patients at baseline), showing 100% both radiological and clinical dryness following the intradetursor BTX-A injection.</w:t>
      </w:r>
      <w:r w:rsidR="005526DD">
        <w:t xml:space="preserve"> </w:t>
      </w:r>
      <w:r w:rsidR="005526DD" w:rsidRPr="005526DD">
        <w:t>In the five responding patients, mean bladder capacity increased from a baseline of 112 mL to 246 mL at the 3-month follow-up.</w:t>
      </w:r>
      <w:r w:rsidRPr="007C44FB">
        <w:t xml:space="preserve"> On the other hand, patient number 6 was associated with persistent urinary incontinence and no improvement in hydronephroses despite the intervention. This patient also had the longest duration of symptoms, with 7 years</w:t>
      </w:r>
      <w:r w:rsidR="005526DD">
        <w:t xml:space="preserve"> and </w:t>
      </w:r>
      <w:r w:rsidR="005526DD" w:rsidRPr="005526DD">
        <w:t>showed only a marginal increase in bladder capacity</w:t>
      </w:r>
      <w:r w:rsidR="005526DD">
        <w:t xml:space="preserve"> from </w:t>
      </w:r>
      <w:r w:rsidR="005526DD" w:rsidRPr="005526DD">
        <w:t>140 mL to 155 mL</w:t>
      </w:r>
      <w:r w:rsidRPr="007C44FB">
        <w:t>. No patients experienced post-operative urinary retention long-term clean intermittent catheterization (CIC), with the mean PVR volume being 16.6 mL across the cohort. Finally, the five responding patients reported significant or moderate improvement in their daily social activities and school attendance, culminating in a better overall QoL. In contrast, the non-responding patient reported minimal change regarding his overall QoL</w:t>
      </w:r>
      <w:r>
        <w:t xml:space="preserve">. </w:t>
      </w:r>
      <w:r w:rsidRPr="007C44FB">
        <w:rPr>
          <w:b/>
          <w:bCs/>
        </w:rPr>
        <w:t>Table 1</w:t>
      </w:r>
    </w:p>
    <w:p w14:paraId="51FDE9C2" w14:textId="7C361019" w:rsidR="00A406F4" w:rsidRPr="00A406F4" w:rsidRDefault="00A406F4" w:rsidP="00A406F4">
      <w:r w:rsidRPr="00A406F4">
        <w:rPr>
          <w:b/>
          <w:bCs/>
        </w:rPr>
        <w:t>Table 1</w:t>
      </w:r>
    </w:p>
    <w:p w14:paraId="0DA86C9C" w14:textId="1E87EB8D" w:rsidR="00B429EA" w:rsidRDefault="00DF5B54" w:rsidP="00DC11CA">
      <w:pPr>
        <w:rPr>
          <w:b/>
          <w:sz w:val="28"/>
          <w:szCs w:val="36"/>
        </w:rPr>
      </w:pPr>
      <w:r w:rsidRPr="00EA66E3">
        <w:rPr>
          <w:b/>
          <w:sz w:val="28"/>
          <w:szCs w:val="36"/>
        </w:rPr>
        <w:t>Discussion</w:t>
      </w:r>
    </w:p>
    <w:p w14:paraId="143E3375" w14:textId="004E2BC4" w:rsidR="00FA5E1F" w:rsidRDefault="00FA5E1F" w:rsidP="00723BCC">
      <w:pPr>
        <w:rPr>
          <w:rFonts w:cstheme="majorBidi"/>
          <w:szCs w:val="28"/>
          <w:lang w:bidi="ar-EG"/>
        </w:rPr>
      </w:pPr>
      <w:r>
        <w:rPr>
          <w:rFonts w:cstheme="majorBidi"/>
          <w:szCs w:val="28"/>
          <w:lang w:bidi="ar-EG"/>
        </w:rPr>
        <w:t>In this</w:t>
      </w:r>
      <w:r w:rsidRPr="00FA5E1F">
        <w:rPr>
          <w:rFonts w:cstheme="majorBidi"/>
          <w:szCs w:val="28"/>
          <w:lang w:bidi="ar-EG"/>
        </w:rPr>
        <w:t xml:space="preserve"> case series</w:t>
      </w:r>
      <w:r>
        <w:rPr>
          <w:rFonts w:cstheme="majorBidi"/>
          <w:szCs w:val="28"/>
          <w:lang w:bidi="ar-EG"/>
        </w:rPr>
        <w:t>, we</w:t>
      </w:r>
      <w:r w:rsidRPr="00FA5E1F">
        <w:rPr>
          <w:rFonts w:cstheme="majorBidi"/>
          <w:szCs w:val="28"/>
          <w:lang w:bidi="ar-EG"/>
        </w:rPr>
        <w:t xml:space="preserve"> </w:t>
      </w:r>
      <w:r>
        <w:rPr>
          <w:rFonts w:cstheme="majorBidi"/>
          <w:szCs w:val="28"/>
          <w:lang w:bidi="ar-EG"/>
        </w:rPr>
        <w:t>demonstrated</w:t>
      </w:r>
      <w:r w:rsidRPr="00FA5E1F">
        <w:rPr>
          <w:rFonts w:cstheme="majorBidi"/>
          <w:szCs w:val="28"/>
          <w:lang w:bidi="ar-EG"/>
        </w:rPr>
        <w:t xml:space="preserve"> that intradetrusor BTX-A</w:t>
      </w:r>
      <w:r>
        <w:rPr>
          <w:rFonts w:cstheme="majorBidi"/>
          <w:szCs w:val="28"/>
          <w:lang w:bidi="ar-EG"/>
        </w:rPr>
        <w:t xml:space="preserve"> injection</w:t>
      </w:r>
      <w:r w:rsidRPr="00FA5E1F">
        <w:rPr>
          <w:rFonts w:cstheme="majorBidi"/>
          <w:szCs w:val="28"/>
          <w:lang w:bidi="ar-EG"/>
        </w:rPr>
        <w:t xml:space="preserve"> is highly effective for managing pediatric refractory OAB, with a success rate of 83.3% (5 out of 6 cases). The</w:t>
      </w:r>
      <w:r>
        <w:rPr>
          <w:rFonts w:cstheme="majorBidi"/>
          <w:szCs w:val="28"/>
          <w:lang w:bidi="ar-EG"/>
        </w:rPr>
        <w:t xml:space="preserve"> 5 patients who responded well to the injection managed to</w:t>
      </w:r>
      <w:r w:rsidRPr="00FA5E1F">
        <w:rPr>
          <w:rFonts w:cstheme="majorBidi"/>
          <w:szCs w:val="28"/>
          <w:lang w:bidi="ar-EG"/>
        </w:rPr>
        <w:t xml:space="preserve"> </w:t>
      </w:r>
      <w:r>
        <w:rPr>
          <w:rFonts w:cstheme="majorBidi"/>
          <w:szCs w:val="28"/>
          <w:lang w:bidi="ar-EG"/>
        </w:rPr>
        <w:t>achieve</w:t>
      </w:r>
      <w:r w:rsidRPr="00FA5E1F">
        <w:rPr>
          <w:rFonts w:cstheme="majorBidi"/>
          <w:szCs w:val="28"/>
          <w:lang w:bidi="ar-EG"/>
        </w:rPr>
        <w:t xml:space="preserve"> </w:t>
      </w:r>
      <w:r w:rsidRPr="00FA5E1F">
        <w:rPr>
          <w:rFonts w:cstheme="majorBidi"/>
          <w:szCs w:val="28"/>
          <w:lang w:bidi="ar-EG"/>
        </w:rPr>
        <w:lastRenderedPageBreak/>
        <w:t>complete clinical dryness and resolution of hydronephrosis within three months. These findings align with previous research indicating that BTX-A is a robust tool for children who have failed multiple pharmacological trials</w:t>
      </w:r>
      <w:r w:rsidR="00723BCC">
        <w:rPr>
          <w:rFonts w:cstheme="majorBidi"/>
          <w:szCs w:val="28"/>
          <w:lang w:bidi="ar-EG"/>
        </w:rPr>
        <w:t xml:space="preserve"> </w:t>
      </w:r>
      <w:r w:rsidR="00723BCC">
        <w:rPr>
          <w:rFonts w:cstheme="majorBidi"/>
          <w:szCs w:val="28"/>
          <w:lang w:bidi="ar-EG"/>
        </w:rPr>
        <w:fldChar w:fldCharType="begin"/>
      </w:r>
      <w:r w:rsidR="00723BCC">
        <w:rPr>
          <w:rFonts w:cstheme="majorBidi"/>
          <w:szCs w:val="28"/>
          <w:lang w:bidi="ar-EG"/>
        </w:rPr>
        <w:instrText xml:space="preserve"> ADDIN ZOTERO_ITEM CSL_CITATION {"citationID":"W7VqethX","properties":{"formattedCitation":"(8)","plainCitation":"(8)","noteIndex":0},"citationItems":[{"id":21054,"uris":["http://zotero.org/groups/6381329/items/UX3GPZ4F"],"itemData":{"id":21054,"type":"article-journal","abstract":"Objectives: To investigate the effectiveness of Botulinum Toxin A (BTX-A) intravesical injections in improving quality of life (QoL) among pediatric patients.\nIntroduction: Overactive bladder (OAB) in children impacts their QoL. Current treatments often have limitations, necessitating the exploration of alternative therapies.\nMethods: A quasi-experimental design was conducted in four Jordanian hospitals, with participants being parents of pediatric OAB patients aged 5 to 18 years. Statistical analysis was utilized for data analysis.\nResults: Results showed that BTX-A injections significantly improved QoL scores for pediatric OAB patients, with marked reductions in symptoms and enhanced well-being in the intervention group. Key demographic factors like household income and age at symptom onset were linked to QoL outcomes, and pre-treatment QoL varied by healthcare provider type.\nConclusion: This study highlights BTX-A as a promising therapeutic and advocates for its broader adoption in pediatric urology to enhance the well-being and daily functioning of children with OAB.","container-title":"Sage Open Pediatrics","DOI":"10.1177/30502225251346341","ISSN":"3050-2225","language":"EN","page":"30502225251346341","publisher":"SAGE Publications","source":"SAGE Journals","title":"The Effect of Intravesical Injection of Botulinum Toxin A (BTX-A) on Quality of Life of Pediatrics Diagnosed With Overactive Bladder: A Quasi-Experimental Study","title-short":"The Effect of Intravesical Injection of Botulinum Toxin A (BTX-A) on Quality of Life of Pediatrics Diagnosed With Overactive Bladder","volume":"12","author":[{"family":"Al-Rimawi","given":"Salwa Maher"},{"family":"Alrimawi","given":"Intima"},{"family":"Ibrahim","given":"Marwan Moslah"},{"family":"Oleimat","given":"Bayan"},{"family":"Elayan","given":"Abeer Mousa"},{"family":"Khatatbeh","given":"Haitham"},{"family":"Albikawi","given":"Zainab Fatehi"},{"family":"Saifan","given":"Ahmad Rajeh"}],"issued":{"date-parts":[["2025",2,1]]}}}],"schema":"https://github.com/citation-style-language/schema/raw/master/csl-citation.json"} </w:instrText>
      </w:r>
      <w:r w:rsidR="00723BCC">
        <w:rPr>
          <w:rFonts w:cstheme="majorBidi"/>
          <w:szCs w:val="28"/>
          <w:lang w:bidi="ar-EG"/>
        </w:rPr>
        <w:fldChar w:fldCharType="separate"/>
      </w:r>
      <w:r w:rsidR="00723BCC" w:rsidRPr="00723BCC">
        <w:t>(8)</w:t>
      </w:r>
      <w:r w:rsidR="00723BCC">
        <w:rPr>
          <w:rFonts w:cstheme="majorBidi"/>
          <w:szCs w:val="28"/>
          <w:lang w:bidi="ar-EG"/>
        </w:rPr>
        <w:fldChar w:fldCharType="end"/>
      </w:r>
      <w:r w:rsidRPr="00FA5E1F">
        <w:rPr>
          <w:rFonts w:cstheme="majorBidi"/>
          <w:szCs w:val="28"/>
          <w:lang w:bidi="ar-EG"/>
        </w:rPr>
        <w:t>.</w:t>
      </w:r>
    </w:p>
    <w:p w14:paraId="4615C728" w14:textId="1EE3CE04" w:rsidR="007A7BB2" w:rsidRPr="00306F1D" w:rsidRDefault="007A7BB2" w:rsidP="00723BCC">
      <w:pPr>
        <w:rPr>
          <w:rFonts w:cstheme="majorBidi"/>
          <w:szCs w:val="28"/>
          <w:lang w:bidi="ar-EG"/>
        </w:rPr>
      </w:pPr>
      <w:r>
        <w:rPr>
          <w:rFonts w:cstheme="majorBidi"/>
          <w:szCs w:val="28"/>
          <w:lang w:bidi="ar-EG"/>
        </w:rPr>
        <w:t xml:space="preserve">The efficacy of BTX-A injection in the treatment of refractory OAB was first demonstrated by </w:t>
      </w:r>
      <w:r w:rsidRPr="007A7BB2">
        <w:rPr>
          <w:rFonts w:cstheme="majorBidi"/>
          <w:szCs w:val="28"/>
          <w:lang w:bidi="ar-EG"/>
        </w:rPr>
        <w:t>Schurch</w:t>
      </w:r>
      <w:r>
        <w:rPr>
          <w:rFonts w:cstheme="majorBidi"/>
          <w:szCs w:val="28"/>
          <w:lang w:bidi="ar-EG"/>
        </w:rPr>
        <w:t xml:space="preserve"> et al., which reported significant improvements in the reflex volume, bladder capacity and maximum pressure </w:t>
      </w:r>
      <w:r>
        <w:rPr>
          <w:rFonts w:cstheme="majorBidi"/>
          <w:szCs w:val="28"/>
          <w:lang w:bidi="ar-EG"/>
        </w:rPr>
        <w:fldChar w:fldCharType="begin"/>
      </w:r>
      <w:r w:rsidR="00723BCC">
        <w:rPr>
          <w:rFonts w:cstheme="majorBidi"/>
          <w:szCs w:val="28"/>
          <w:lang w:bidi="ar-EG"/>
        </w:rPr>
        <w:instrText xml:space="preserve"> ADDIN ZOTERO_ITEM CSL_CITATION {"citationID":"mgksEmbc","properties":{"formattedCitation":"(9)","plainCitation":"(9)","noteIndex":0},"citationItems":[{"id":20864,"uris":["http://zotero.org/groups/6381329/items/W9A86A5N"],"itemData":{"id":20864,"type":"article-journal","container-title":"The New England Journal of Medicine","DOI":"10.1056/NEJM200003023420918","ISSN":"0028-4793","issue":"9","journalAbbreviation":"N Engl J Med","language":"eng","page":"665","PMID":"10702067","source":"PubMed","title":"Treatment of neurogenic incontinence with botulinum toxin A","volume":"342","author":[{"family":"Schurch","given":"B."},{"family":"Schmid","given":"D. M."},{"family":"Stöhrer","given":"M."}],"issued":{"date-parts":[["2000",3,2]]}}}],"schema":"https://github.com/citation-style-language/schema/raw/master/csl-citation.json"} </w:instrText>
      </w:r>
      <w:r>
        <w:rPr>
          <w:rFonts w:cstheme="majorBidi"/>
          <w:szCs w:val="28"/>
          <w:lang w:bidi="ar-EG"/>
        </w:rPr>
        <w:fldChar w:fldCharType="separate"/>
      </w:r>
      <w:r w:rsidR="00723BCC" w:rsidRPr="00723BCC">
        <w:t>(9)</w:t>
      </w:r>
      <w:r>
        <w:rPr>
          <w:rFonts w:cstheme="majorBidi"/>
          <w:szCs w:val="28"/>
          <w:lang w:bidi="ar-EG"/>
        </w:rPr>
        <w:fldChar w:fldCharType="end"/>
      </w:r>
      <w:r>
        <w:rPr>
          <w:rFonts w:cstheme="majorBidi"/>
          <w:szCs w:val="28"/>
          <w:lang w:bidi="ar-EG"/>
        </w:rPr>
        <w:t xml:space="preserve">. Notably, this study excluded patients with OAB secondary to organic disorder of fibrotic changes, which could explain some of the variation between the clinical outcomes of the patients. Another phase 3 multi-center, randomized, double-blinded clinical trial including a total of 416 patients with </w:t>
      </w:r>
      <w:r w:rsidRPr="007A7BB2">
        <w:rPr>
          <w:rFonts w:cstheme="majorBidi"/>
          <w:szCs w:val="28"/>
          <w:lang w:bidi="ar-EG"/>
        </w:rPr>
        <w:t>detrusor overactivity and urinary incontinence</w:t>
      </w:r>
      <w:r>
        <w:rPr>
          <w:rFonts w:cstheme="majorBidi"/>
          <w:szCs w:val="28"/>
          <w:lang w:bidi="ar-EG"/>
        </w:rPr>
        <w:t xml:space="preserve">, reported that compared to placebo, the injection of BTX-A was associated with significant improvements in both the clinical and urodynamic parameters of the patients </w:t>
      </w:r>
      <w:r>
        <w:rPr>
          <w:rFonts w:cstheme="majorBidi"/>
          <w:szCs w:val="28"/>
          <w:lang w:bidi="ar-EG"/>
        </w:rPr>
        <w:fldChar w:fldCharType="begin"/>
      </w:r>
      <w:r w:rsidR="00723BCC">
        <w:rPr>
          <w:rFonts w:cstheme="majorBidi"/>
          <w:szCs w:val="28"/>
          <w:lang w:bidi="ar-EG"/>
        </w:rPr>
        <w:instrText xml:space="preserve"> ADDIN ZOTERO_ITEM CSL_CITATION {"citationID":"LCfXX75u","properties":{"formattedCitation":"(10)","plainCitation":"(10)","noteIndex":0},"citationItems":[{"id":20866,"uris":["http://zotero.org/groups/6381329/items/E9RTI2QV"],"itemData":{"id":20866,"type":"article-journal","abstract":"PURPOSE: We assessed the efficacy, safety and effects on quality of life of onabotulinumtoxinA in patients with neurogenic detrusor overactivity.\nMATERIALS AND METHODS: In this 52-week, international, multicenter, double-blind, randomized, placebo controlled trial 416 patients with neurogenic detrusor overactivity and urinary incontinence (14 or more episodes per week) resulting from multiple sclerosis (227) and spinal cord injury (189) were treated with intradetrusor injections of onabotulinumtoxinA (200 or 300 U) or placebo. The primary end point was the change from baseline in the mean number of urinary incontinence episodes per week at week 6. Maximum cystometric capacity, maximum detrusor pressure during the first involuntary detrusor contraction and Incontinence Quality of Life total score were secondary end points. Adverse events were monitored.\nRESULTS: OnabotulinumtoxinA at a dose of 200 U in 135 patients and 300 U in 132 decreased mean urinary incontinence at week 6 by 21 and 23 episodes per week, respectively, vs 9 episodes per week in 149 on placebo (each dose p&lt;0.001). Also, maximum cystometric capacity, maximum detrusor pressure during the first involuntary detrusor contraction and Incontinence Quality of Life score were significantly improved over values in the placebo group (each dose p&lt;0.001). Median time to patient re-treatment request was greater for onabotulinumtoxinA 200 and 300 U than for placebo (256 and 254 days, respectively, vs 92). The most common adverse events were urinary tract infection and urinary retention. Of patients who did not catheterize at baseline 10% on placebo, 35% on 200 U and 42% on 300 U initiated catheterization due to urinary retention.\nCONCLUSIONS: OnabotulinumtoxinA significantly improved neurogenic detrusor overactivity symptoms vs placebo. Clean intermittent catheterization initiation due to urinary retention appeared to increase in a dose dependent fashion. No clinically relevant benefit in efficacy or duration was identified for the 300 U dose over the 200 U dose.","container-title":"The Journal of Urology","DOI":"10.1016/j.juro.2012.01.125","ISSN":"1527-3792","issue":"6","journalAbbreviation":"J Urol","language":"eng","page":"2131-2139","PMID":"22503020","source":"PubMed","title":"Phase 3 efficacy and tolerability study of onabotulinumtoxinA for urinary incontinence from neurogenic detrusor overactivity","volume":"187","author":[{"family":"Ginsberg","given":"David"},{"family":"Gousse","given":"Angelo"},{"family":"Keppenne","given":"Veronique"},{"family":"Sievert","given":"Karl-Dietrich"},{"family":"Thompson","given":"Catherine"},{"family":"Lam","given":"Wayne"},{"family":"Brin","given":"Mitchell F."},{"family":"Jenkins","given":"Brenda"},{"family":"Haag-Molkenteller","given":"Cornelia"}],"issued":{"date-parts":[["2012",6]]}}}],"schema":"https://github.com/citation-style-language/schema/raw/master/csl-citation.json"} </w:instrText>
      </w:r>
      <w:r>
        <w:rPr>
          <w:rFonts w:cstheme="majorBidi"/>
          <w:szCs w:val="28"/>
          <w:lang w:bidi="ar-EG"/>
        </w:rPr>
        <w:fldChar w:fldCharType="separate"/>
      </w:r>
      <w:r w:rsidR="00723BCC" w:rsidRPr="00723BCC">
        <w:t>(10)</w:t>
      </w:r>
      <w:r>
        <w:rPr>
          <w:rFonts w:cstheme="majorBidi"/>
          <w:szCs w:val="28"/>
          <w:lang w:bidi="ar-EG"/>
        </w:rPr>
        <w:fldChar w:fldCharType="end"/>
      </w:r>
      <w:r>
        <w:rPr>
          <w:rFonts w:cstheme="majorBidi"/>
          <w:szCs w:val="28"/>
          <w:lang w:bidi="ar-EG"/>
        </w:rPr>
        <w:t>.</w:t>
      </w:r>
    </w:p>
    <w:p w14:paraId="05F21957" w14:textId="77777777" w:rsidR="00723BCC" w:rsidRDefault="009240A0" w:rsidP="00723BCC">
      <w:pPr>
        <w:rPr>
          <w:rFonts w:cstheme="majorBidi"/>
          <w:szCs w:val="28"/>
          <w:lang w:bidi="ar-EG"/>
        </w:rPr>
      </w:pPr>
      <w:r w:rsidRPr="009240A0">
        <w:rPr>
          <w:rFonts w:cstheme="majorBidi"/>
          <w:szCs w:val="28"/>
          <w:lang w:bidi="ar-EG"/>
        </w:rPr>
        <w:t>BTX-A is a potent neurotoxin that can effectively inhibit the release of acetylcholine at the neuromuscular junction, thereby inhibiting excessive overactive and unnecessary bladder contractions</w:t>
      </w:r>
      <w:r w:rsidR="007A7BB2">
        <w:rPr>
          <w:rFonts w:cstheme="majorBidi"/>
          <w:szCs w:val="28"/>
          <w:lang w:bidi="ar-EG"/>
        </w:rPr>
        <w:t xml:space="preserve"> </w:t>
      </w:r>
      <w:r w:rsidR="007A7BB2">
        <w:rPr>
          <w:rFonts w:cstheme="majorBidi"/>
          <w:szCs w:val="28"/>
          <w:lang w:bidi="ar-EG"/>
        </w:rPr>
        <w:fldChar w:fldCharType="begin"/>
      </w:r>
      <w:r w:rsidR="00723BCC">
        <w:rPr>
          <w:rFonts w:cstheme="majorBidi"/>
          <w:szCs w:val="28"/>
          <w:lang w:bidi="ar-EG"/>
        </w:rPr>
        <w:instrText xml:space="preserve"> ADDIN ZOTERO_ITEM CSL_CITATION {"citationID":"cuggJsaw","properties":{"formattedCitation":"(11,12)","plainCitation":"(11,12)","noteIndex":0},"citationItems":[{"id":20872,"uris":["http://zotero.org/groups/6381329/items/KDPMTFCA"],"itemData":{"id":20872,"type":"article-journal","abstract":"One of the most common dysfunction is overactive bladder. The clinical symptoms are associated with an involuntary contraction of the detrusor muscle of the urethra. Drugs are the basis of overactive bladder therapy. However, the duration of drug therapy is limited due to the frequent development of side effects. The study aimed to examine the efficacy of using botulinum toxin type A (BTX-A) in patients with overactive bladder. A total of 90 patients with overactive bladder (mean age 39.86 ± 3.47 years; 59 (65.6%) women and 31 (34.4%) men) divided into two groups (45 patients each) were examined: Group 1 included patients without imperative urinary incontinence, and Group 2 included patients with imperative urinary incontinence. Patients in both groups underwent intravesical injection of 200 units of botulinum toxin type A (Xeomin). The BTX- A for treating patients with overactive bladder reduces clinical symptoms, increases the functional volume of the bladder, and facilitates an improvement in the life quality of patients. The use of BTX-A in patients suffering from overactive bladder and not responding to drug therapy with m-cholinolytics is effective and safe, which allows recommending this treatment method to correct the studied bladder dysfunction in such patients.","container-title":"Toxicon","DOI":"10.1016/j.toxicon.2021.07.005","ISSN":"0041-0101","journalAbbreviation":"Toxicon","page":"96-101","source":"ScienceDirect","title":"Correction of overactive bladder with botulinum toxin type A (BTX-A)","volume":"200","author":[{"family":"Grishin","given":"Andrey"},{"family":"Spaska","given":"Anastasiya"},{"family":"Kayumova","given":"Lyailya"}],"issued":{"date-parts":[["2021",9,1]]}},"label":"page"},{"id":20870,"uris":["http://zotero.org/groups/6381329/items/UB8KMEYC"],"itemData":{"id":20870,"type":"article-journal","abstract":"Background:\nBotulinum toxin-A (BoNT/A) is now established second-line management for refractory\noveractive bladder (OAB) and recognised in many incontinence guidelines and pathways.\nFor those with neurogenic detrusor overactivity secondary to spinal cord injury or\nmultiple sclerosis, the toxin is currently licensed in certain parts of the world,\nincluding the UK. It is an effective treatment in those in whom antimuscarinics and\nconservative measures have failed who have symptoms of OAB and or detrusor overactivity\n(DO).\n\nMethods:\nTreatment can be given in an outpatient setting and can be administered under local\nanaesthesia. Its efficacy lasts for between six and 12 months.\n\nResults:\nIt has an acceptable safety profile with the biggest risk being urinary tract infection\nand difficulty emptying the bladder, necessitating clean intermittent\nself-catheterisation (CISC). Medium-term follow-up suggests repeated injections are also\nsafe and efficacious.\n\nConclusions:\nThe mechanism of action of the toxin is more complicated than originally thought, and\nit seems likely that it affects motor and sensory nerves of the bladder. In the last 10\nyears much of the progress of this treatment from early experimental trials to\nmainstream clinical use, and a better understanding of how it works in the bladder, are\nas a result of research conducted in the UK. This review summarises the significant and\nsubstantial evidence for BoNT/A to treat refractory OAB from UK centres.","container-title":"Journal of Clinical Urology","DOI":"10.1177/2051415812473096","ISSN":"2051-4158","issue":"2","journalAbbreviation":"J Clin Urol","page":"77-83","PMID":"26097709","PMCID":"PMC4467228","source":"PubMed Central","title":"Botulinum toxin-A for the treatment of overactive bladder: UK contributions","title-short":"Botulinum toxin-A for the treatment of overactive bladder","volume":"6","author":[{"family":"Seth","given":"JH"},{"family":"Dowson","given":"C"},{"family":"Khan","given":"MS"},{"family":"Panicker","given":"JN"},{"family":"Fowler","given":"CJ"},{"family":"Dasgupta","given":"P"},{"family":"Sahai","given":"A"}],"issued":{"date-parts":[["2013",3]]}},"label":"page"}],"schema":"https://github.com/citation-style-language/schema/raw/master/csl-citation.json"} </w:instrText>
      </w:r>
      <w:r w:rsidR="007A7BB2">
        <w:rPr>
          <w:rFonts w:cstheme="majorBidi"/>
          <w:szCs w:val="28"/>
          <w:lang w:bidi="ar-EG"/>
        </w:rPr>
        <w:fldChar w:fldCharType="separate"/>
      </w:r>
      <w:r w:rsidR="00723BCC" w:rsidRPr="00723BCC">
        <w:t>(11,12)</w:t>
      </w:r>
      <w:r w:rsidR="007A7BB2">
        <w:rPr>
          <w:rFonts w:cstheme="majorBidi"/>
          <w:szCs w:val="28"/>
          <w:lang w:bidi="ar-EG"/>
        </w:rPr>
        <w:fldChar w:fldCharType="end"/>
      </w:r>
      <w:r w:rsidRPr="009240A0">
        <w:rPr>
          <w:rFonts w:cstheme="majorBidi"/>
          <w:szCs w:val="28"/>
          <w:lang w:bidi="ar-EG"/>
        </w:rPr>
        <w:t xml:space="preserve">. Therefore, we can hypothesize that BTX-A can be most effective when the main pathology in the bladder is mediated by excessive muscle contraction. In contrast, </w:t>
      </w:r>
      <w:r w:rsidR="00723BCC">
        <w:rPr>
          <w:rFonts w:cstheme="majorBidi"/>
          <w:szCs w:val="28"/>
          <w:lang w:bidi="ar-EG"/>
        </w:rPr>
        <w:t>when</w:t>
      </w:r>
      <w:r w:rsidRPr="009240A0">
        <w:rPr>
          <w:rFonts w:cstheme="majorBidi"/>
          <w:szCs w:val="28"/>
          <w:lang w:bidi="ar-EG"/>
        </w:rPr>
        <w:t xml:space="preserve"> incontinence might be driven by mechanisms less responsive to detrusor paralysis, such as severe sensory urgency without high-pressure contractions, or potentially subtle sphincter incompetence that BTX-A does not address</w:t>
      </w:r>
      <w:r w:rsidR="00723BCC">
        <w:rPr>
          <w:rFonts w:cstheme="majorBidi"/>
          <w:szCs w:val="28"/>
          <w:lang w:bidi="ar-EG"/>
        </w:rPr>
        <w:t>, the response to the treatment might be inadequate</w:t>
      </w:r>
      <w:r w:rsidR="000522BF">
        <w:rPr>
          <w:rFonts w:cstheme="majorBidi"/>
          <w:szCs w:val="28"/>
          <w:lang w:bidi="ar-EG"/>
        </w:rPr>
        <w:t xml:space="preserve"> </w:t>
      </w:r>
      <w:r w:rsidR="000522BF">
        <w:rPr>
          <w:rFonts w:cstheme="majorBidi"/>
          <w:szCs w:val="28"/>
          <w:lang w:bidi="ar-EG"/>
        </w:rPr>
        <w:fldChar w:fldCharType="begin"/>
      </w:r>
      <w:r w:rsidR="00723BCC">
        <w:rPr>
          <w:rFonts w:cstheme="majorBidi"/>
          <w:szCs w:val="28"/>
          <w:lang w:bidi="ar-EG"/>
        </w:rPr>
        <w:instrText xml:space="preserve"> ADDIN ZOTERO_ITEM CSL_CITATION {"citationID":"yPycESSb","properties":{"formattedCitation":"(13)","plainCitation":"(13)","noteIndex":0},"citationItems":[{"id":20875,"uris":["http://zotero.org/groups/6381329/items/7F7IEFYS"],"itemData":{"id":20875,"type":"article-journal","abstract":"Neurogenic detrusor overactivity (NDO) is a disorder that can cause high intravesical pressure, decreased capacity, decreased bladder compliance, and upper urinary system damage. The current treatment options for NDO are established on the basis of agents that block parasympathetic innervation of the detrusor and inhibit involuntary bladder contractions. Several side effects, such as dryness of mouth, constipation, dyspepsia, changes in visual accommodation, somnolence, and being unable to obtain consistently favorable results, caused by anticholinergic agents, which are frequently used for this purpose, decrease the patient’s compliance to treatment. Procedures such as neuromodulation, auto-augmentation, and enterocystoplasty are surgical options, and they could be used as the last alternative. Thus, botulinum toxin (BTX) injections to the detrusor have been commonly performed in recent years and lead to satisfactory results. The mechanism of action of BTX in NDO is based on the principal of smooth muscle relaxation in the bladder by the transient inhibition of neuromuscular nerve signals. The aim is to decrease acetylcholine secretion by blocking presynaptic vesicles in the neuromuscular junction. When studies were evaluated, it was observed that BTX injections to the detrusor muscle are a necessary and effective option in patients with incontinence caused by NDO. This treatment option could be indicated in situations where anticholinergic agents are not effective or could not be tolerated, and it could be a valuable alternative to major surgical treatments. In this review, we evaluated the effectiveness and reliability of BTX in patients with NDO.","container-title":"Turkish Journal of Urology","DOI":"10.5152/tud.2015.25307","ISSN":"2149-3235","issue":"4","journalAbbreviation":"Turk J Urol","page":"221-227","PMID":"26623152","PMCID":"PMC4621151","source":"PubMed Central","title":"Botulinum toxin injections for treating neurogenic detrusor overactivity","volume":"41","author":[{"family":"Bayrak","given":"Ömer"},{"family":"Sadioğlu","given":"Erkan"},{"family":"Onur","given":"Rahmi"}],"issued":{"date-parts":[["2015",12]]}}}],"schema":"https://github.com/citation-style-language/schema/raw/master/csl-citation.json"} </w:instrText>
      </w:r>
      <w:r w:rsidR="000522BF">
        <w:rPr>
          <w:rFonts w:cstheme="majorBidi"/>
          <w:szCs w:val="28"/>
          <w:lang w:bidi="ar-EG"/>
        </w:rPr>
        <w:fldChar w:fldCharType="separate"/>
      </w:r>
      <w:r w:rsidR="00723BCC" w:rsidRPr="00723BCC">
        <w:t>(13)</w:t>
      </w:r>
      <w:r w:rsidR="000522BF">
        <w:rPr>
          <w:rFonts w:cstheme="majorBidi"/>
          <w:szCs w:val="28"/>
          <w:lang w:bidi="ar-EG"/>
        </w:rPr>
        <w:fldChar w:fldCharType="end"/>
      </w:r>
      <w:r w:rsidRPr="009240A0">
        <w:rPr>
          <w:rFonts w:cstheme="majorBidi"/>
          <w:szCs w:val="28"/>
          <w:lang w:bidi="ar-EG"/>
        </w:rPr>
        <w:t>.</w:t>
      </w:r>
    </w:p>
    <w:p w14:paraId="56031083" w14:textId="77777777" w:rsidR="00257F5E" w:rsidRDefault="00723BCC" w:rsidP="00257F5E">
      <w:pPr>
        <w:rPr>
          <w:rFonts w:cstheme="majorBidi"/>
          <w:szCs w:val="28"/>
          <w:lang w:bidi="ar-EG"/>
        </w:rPr>
      </w:pPr>
      <w:r w:rsidRPr="00723BCC">
        <w:rPr>
          <w:rFonts w:cstheme="majorBidi"/>
          <w:szCs w:val="28"/>
          <w:lang w:bidi="ar-EG"/>
        </w:rPr>
        <w:t>A key observation was the failure of Case 6, who, despite having similar BTX-A injections, did not achieve clinical improvement. This patient had the longest duration of symptoms (7 years) and persistent hydronephrosis, which might indicate the presence of an underlying structural change, such as wall fibrosis or sensory urgency mechanisms that are less responsive to chemodenervation</w:t>
      </w:r>
      <w:r w:rsidR="00943FAB">
        <w:rPr>
          <w:rFonts w:cstheme="majorBidi"/>
          <w:szCs w:val="28"/>
          <w:lang w:bidi="ar-EG"/>
        </w:rPr>
        <w:t xml:space="preserve"> </w:t>
      </w:r>
      <w:r w:rsidR="00943FAB">
        <w:rPr>
          <w:rFonts w:cstheme="majorBidi"/>
          <w:szCs w:val="28"/>
          <w:lang w:bidi="ar-EG"/>
        </w:rPr>
        <w:fldChar w:fldCharType="begin"/>
      </w:r>
      <w:r w:rsidR="00943FAB">
        <w:rPr>
          <w:rFonts w:cstheme="majorBidi"/>
          <w:szCs w:val="28"/>
          <w:lang w:bidi="ar-EG"/>
        </w:rPr>
        <w:instrText xml:space="preserve"> ADDIN ZOTERO_ITEM CSL_CITATION {"citationID":"VWpjhEx5","properties":{"formattedCitation":"(14)","plainCitation":"(14)","noteIndex":0},"citationItems":[{"id":21055,"uris":["http://zotero.org/groups/6381329/items/XQFALK8X"],"itemData":{"id":21055,"type":"article-journal","abstract":"PURPOSE OF REVIEW: The purpose of this article is to provide an overview about the applicability of botulinum toxin type A (BTX-A) in paediatric neurogenic bladder based on the recently published literature combined with hypothetical notes and future perspectives.\nRECENT FINDINGS: The indications, clinical outcomes, urodynamic outcome parameters and cost-effectiveness are presented from recent publications. Also, alternative routes of application of BTX-A in the bladder are discussed as well as the influence of BTX-A on conservative and invasive treatment.\nSUMMARY: Intradetrusor BTX-A injections for neurogenic bladder dysfunction are effective in resolving both urinary incontinence and improving urodynamic parameters in most children with a sustained response at repeated injections. In low-compliance bladders, however, if no response is seen after initial BTX-A injection, repeated injections seem to be unnecessary. Because general anaesthesia is mandatory for BTX-A injections in children, alternative routes of application have been investigated such as intravesical installation, electromotive drug application and liposomal drug delivery; however, no definite results have been found in a paediatric clinical setting.","container-title":"Current Opinion in Urology","DOI":"10.1097/MOU.0000000000000352","ISSN":"1473-6586","issue":"1","journalAbbreviation":"Curr Opin Urol","language":"eng","page":"14-19","PMID":"27748667","source":"PubMed","title":"Applicability of botulinum toxin type A in paediatric neurogenic bladder management","volume":"27","author":[{"family":"Scheepe","given":"Jeroen R."},{"family":"Blok","given":"Bertil F. M."},{"family":"Hoen","given":"Lisette A.","non-dropping-particle":"'t"}],"issued":{"date-parts":[["2017",1]]}}}],"schema":"https://github.com/citation-style-language/schema/raw/master/csl-citation.json"} </w:instrText>
      </w:r>
      <w:r w:rsidR="00943FAB">
        <w:rPr>
          <w:rFonts w:cstheme="majorBidi"/>
          <w:szCs w:val="28"/>
          <w:lang w:bidi="ar-EG"/>
        </w:rPr>
        <w:fldChar w:fldCharType="separate"/>
      </w:r>
      <w:r w:rsidR="00943FAB" w:rsidRPr="00943FAB">
        <w:t>(14)</w:t>
      </w:r>
      <w:r w:rsidR="00943FAB">
        <w:rPr>
          <w:rFonts w:cstheme="majorBidi"/>
          <w:szCs w:val="28"/>
          <w:lang w:bidi="ar-EG"/>
        </w:rPr>
        <w:fldChar w:fldCharType="end"/>
      </w:r>
      <w:r w:rsidRPr="00723BCC">
        <w:rPr>
          <w:rFonts w:cstheme="majorBidi"/>
          <w:szCs w:val="28"/>
          <w:lang w:bidi="ar-EG"/>
        </w:rPr>
        <w:t>. Notably, this also suggests that an earlier intervention in this patient might have been able to improve his condition, before the irreversible bladder wall changes occurred.</w:t>
      </w:r>
    </w:p>
    <w:p w14:paraId="1118F9BA" w14:textId="619C4D01" w:rsidR="009240A0" w:rsidRPr="009240A0" w:rsidRDefault="00257F5E" w:rsidP="00257F5E">
      <w:pPr>
        <w:rPr>
          <w:rFonts w:cstheme="majorBidi"/>
          <w:szCs w:val="28"/>
          <w:lang w:bidi="ar-EG"/>
        </w:rPr>
      </w:pPr>
      <w:r w:rsidRPr="00257F5E">
        <w:rPr>
          <w:rFonts w:cstheme="majorBidi"/>
          <w:szCs w:val="28"/>
          <w:lang w:bidi="ar-EG"/>
        </w:rPr>
        <w:t>The improvements observed in the QoL were directly proportional to clinical success. Responders reported significant gains in school and social participation, highlighting that the benefits of BTX-A extend beyond physical symptoms to psychological well-being</w:t>
      </w:r>
      <w:r>
        <w:rPr>
          <w:rFonts w:cstheme="majorBidi"/>
          <w:szCs w:val="28"/>
          <w:lang w:bidi="ar-EG"/>
        </w:rPr>
        <w:t xml:space="preserve"> </w:t>
      </w:r>
      <w:r>
        <w:rPr>
          <w:rFonts w:cstheme="majorBidi"/>
          <w:szCs w:val="28"/>
          <w:lang w:bidi="ar-EG"/>
        </w:rPr>
        <w:fldChar w:fldCharType="begin"/>
      </w:r>
      <w:r>
        <w:rPr>
          <w:rFonts w:cstheme="majorBidi"/>
          <w:szCs w:val="28"/>
          <w:lang w:bidi="ar-EG"/>
        </w:rPr>
        <w:instrText xml:space="preserve"> ADDIN ZOTERO_ITEM CSL_CITATION {"citationID":"HCXp8aBB","properties":{"formattedCitation":"(15)","plainCitation":"(15)","noteIndex":0},"citationItems":[{"id":21057,"uris":["http://zotero.org/groups/6381329/items/WW8V86KI"],"itemData":{"id":21057,"type":"article-journal","abstract":"OBJECTIVE To determine whether botulinum toxin-A (BTX-A) treatment has an effect on the quality of life (QoL) of patients with overactive bladder (OAB) refractory to anticholinergics. PATIENTS AND METHODS This was a single centre, randomized, double-blind, placebo-controlled trial. Participants were men and women with idiopathic detrusor overactivity (IDO). Participants were randomised to receive either 200 U of BTX-A (Botox(R), Allergan Inc., Irvine, CA, USA; n = 16) or placebo (n = 18) via a trigone-sparing flexible cystoscopic technique. QoL was assessed using the King's Health Questionnaire (KHQ) at baseline and at 4 and 12 weeks, after injection. At 12 weeks patients were 'unblinded' and a further open-label follow-up in the BTX-A group occurred at 24 weeks. The changes in the subdomains of the KHQ were assessed over the study period. RESULTS Overall QoL was significantly improved in the BTX-A treated patients compared with placebo in the blinded part of the study. When analysing the KHQ subdomains, 'Incontinence Impact', 'Emotions', 'Physical Limitations', 'Social Limitations' and 'Severity Measures' were significantly improved in those that received BTX-A compared with placebo. The 'Symptom Severity' domain was also significantly improved at 4 weeks but not at 12 weeks. At 12 weeks 'Role Limitations' also became statistically significant in favour of BTX-A. The open-label extension study suggested these benefits last for at least 24 weeks. CONCLUSIONS BTX-A bladder injections at 200 U appear to improve QoL in patients with OAB symptoms and IDO refractory to anticholinergics for at least 24 weeks. As well as the improvement seen in clinical parameters with this form of therapy, perhaps of more importance to the patient, is the improvement in QoL.","container-title":"BJU international","DOI":"10.1111/j.1464-410X.2009.08402.x","ISSN":"1464-410X","issue":"11","journalAbbreviation":"BJU Int","language":"eng","page":"1509-1515","PMID":"19389019","source":"PubMed","title":"Improvement in quality of life after botulinum toxin-A injections for idiopathic detrusor overactivity: results from a randomized double-blind placebo-controlled trial","title-short":"Improvement in quality of life after botulinum toxin-A injections for idiopathic detrusor overactivity","volume":"103","author":[{"family":"Sahai","given":"Arun"},{"family":"Dowson","given":"Christopher"},{"family":"Khan","given":"Mohammad S."},{"family":"Dasgupta","given":"Prokar"}],"issued":{"date-parts":[["2009",6]]}}}],"schema":"https://github.com/citation-style-language/schema/raw/master/csl-citation.json"} </w:instrText>
      </w:r>
      <w:r>
        <w:rPr>
          <w:rFonts w:cstheme="majorBidi"/>
          <w:szCs w:val="28"/>
          <w:lang w:bidi="ar-EG"/>
        </w:rPr>
        <w:fldChar w:fldCharType="separate"/>
      </w:r>
      <w:r w:rsidRPr="00257F5E">
        <w:t>(15)</w:t>
      </w:r>
      <w:r>
        <w:rPr>
          <w:rFonts w:cstheme="majorBidi"/>
          <w:szCs w:val="28"/>
          <w:lang w:bidi="ar-EG"/>
        </w:rPr>
        <w:fldChar w:fldCharType="end"/>
      </w:r>
      <w:r w:rsidRPr="00257F5E">
        <w:rPr>
          <w:rFonts w:cstheme="majorBidi"/>
          <w:szCs w:val="28"/>
          <w:lang w:bidi="ar-EG"/>
        </w:rPr>
        <w:t>.</w:t>
      </w:r>
      <w:r>
        <w:rPr>
          <w:rFonts w:cstheme="majorBidi"/>
          <w:szCs w:val="28"/>
          <w:lang w:bidi="ar-EG"/>
        </w:rPr>
        <w:t xml:space="preserve"> Similar to our results, </w:t>
      </w:r>
      <w:r w:rsidRPr="00257F5E">
        <w:rPr>
          <w:rFonts w:cstheme="majorBidi"/>
          <w:szCs w:val="28"/>
          <w:lang w:bidi="ar-EG"/>
        </w:rPr>
        <w:t>Al-Rimawi</w:t>
      </w:r>
      <w:r>
        <w:rPr>
          <w:rFonts w:cstheme="majorBidi"/>
          <w:szCs w:val="28"/>
          <w:lang w:bidi="ar-EG"/>
        </w:rPr>
        <w:t xml:space="preserve">., recently also reported significant improvements in the QoL scores of pediatric OAB patients who were treated with BTX-A injections </w:t>
      </w:r>
      <w:r>
        <w:rPr>
          <w:rFonts w:cstheme="majorBidi"/>
          <w:szCs w:val="28"/>
          <w:lang w:bidi="ar-EG"/>
        </w:rPr>
        <w:fldChar w:fldCharType="begin"/>
      </w:r>
      <w:r>
        <w:rPr>
          <w:rFonts w:cstheme="majorBidi"/>
          <w:szCs w:val="28"/>
          <w:lang w:bidi="ar-EG"/>
        </w:rPr>
        <w:instrText xml:space="preserve"> ADDIN ZOTERO_ITEM CSL_CITATION {"citationID":"6DyNEwaD","properties":{"formattedCitation":"(8)","plainCitation":"(8)","noteIndex":0},"citationItems":[{"id":21054,"uris":["http://zotero.org/groups/6381329/items/UX3GPZ4F"],"itemData":{"id":21054,"type":"article-journal","abstract":"Objectives: To investigate the effectiveness of Botulinum Toxin A (BTX-A) intravesical injections in improving quality of life (QoL) among pediatric patients.\nIntroduction: Overactive bladder (OAB) in children impacts their QoL. Current treatments often have limitations, necessitating the exploration of alternative therapies.\nMethods: A quasi-experimental design was conducted in four Jordanian hospitals, with participants being parents of pediatric OAB patients aged 5 to 18 years. Statistical analysis was utilized for data analysis.\nResults: Results showed that BTX-A injections significantly improved QoL scores for pediatric OAB patients, with marked reductions in symptoms and enhanced well-being in the intervention group. Key demographic factors like household income and age at symptom onset were linked to QoL outcomes, and pre-treatment QoL varied by healthcare provider type.\nConclusion: This study highlights BTX-A as a promising therapeutic and advocates for its broader adoption in pediatric urology to enhance the well-being and daily functioning of children with OAB.","container-title":"Sage Open Pediatrics","DOI":"10.1177/30502225251346341","ISSN":"3050-2225","language":"EN","page":"30502225251346341","publisher":"SAGE Publications","source":"SAGE Journals","title":"The Effect of Intravesical Injection of Botulinum Toxin A (BTX-A) on Quality of Life of Pediatrics Diagnosed With Overactive Bladder: A Quasi-Experimental Study","title-short":"The Effect of Intravesical Injection of Botulinum Toxin A (BTX-A) on Quality of Life of Pediatrics Diagnosed With Overactive Bladder","volume":"12","author":[{"family":"Al-Rimawi","given":"Salwa Maher"},{"family":"Alrimawi","given":"Intima"},{"family":"Ibrahim","given":"Marwan Moslah"},{"family":"Oleimat","given":"Bayan"},{"family":"Elayan","given":"Abeer Mousa"},{"family":"Khatatbeh","given":"Haitham"},{"family":"Albikawi","given":"Zainab Fatehi"},{"family":"Saifan","given":"Ahmad Rajeh"}],"issued":{"date-parts":[["2025",2,1]]}}}],"schema":"https://github.com/citation-style-language/schema/raw/master/csl-citation.json"} </w:instrText>
      </w:r>
      <w:r>
        <w:rPr>
          <w:rFonts w:cstheme="majorBidi"/>
          <w:szCs w:val="28"/>
          <w:lang w:bidi="ar-EG"/>
        </w:rPr>
        <w:fldChar w:fldCharType="separate"/>
      </w:r>
      <w:r w:rsidRPr="00257F5E">
        <w:t>(8)</w:t>
      </w:r>
      <w:r>
        <w:rPr>
          <w:rFonts w:cstheme="majorBidi"/>
          <w:szCs w:val="28"/>
          <w:lang w:bidi="ar-EG"/>
        </w:rPr>
        <w:fldChar w:fldCharType="end"/>
      </w:r>
      <w:r>
        <w:rPr>
          <w:rFonts w:cstheme="majorBidi"/>
          <w:szCs w:val="28"/>
          <w:lang w:bidi="ar-EG"/>
        </w:rPr>
        <w:t xml:space="preserve">.  </w:t>
      </w:r>
    </w:p>
    <w:p w14:paraId="66071007" w14:textId="5CA858E4" w:rsidR="00AF6A83" w:rsidRPr="007030CE" w:rsidRDefault="00C87D91" w:rsidP="00257F5E">
      <w:pPr>
        <w:rPr>
          <w:rFonts w:cstheme="majorBidi"/>
          <w:szCs w:val="28"/>
          <w:lang w:bidi="ar-EG"/>
        </w:rPr>
      </w:pPr>
      <w:r w:rsidRPr="00C87D91">
        <w:rPr>
          <w:rFonts w:cstheme="majorBidi"/>
          <w:szCs w:val="28"/>
          <w:lang w:bidi="ar-EG"/>
        </w:rPr>
        <w:t xml:space="preserve">The interpretation of our findings must be contextualized within several study limitations. First, this study was designed as a </w:t>
      </w:r>
      <w:r w:rsidR="00257F5E">
        <w:rPr>
          <w:rFonts w:cstheme="majorBidi"/>
          <w:szCs w:val="28"/>
          <w:lang w:bidi="ar-EG"/>
        </w:rPr>
        <w:t>case series</w:t>
      </w:r>
      <w:r w:rsidRPr="00C87D91">
        <w:rPr>
          <w:rFonts w:cstheme="majorBidi"/>
          <w:szCs w:val="28"/>
          <w:lang w:bidi="ar-EG"/>
        </w:rPr>
        <w:t xml:space="preserve"> study with a small sample size, which </w:t>
      </w:r>
      <w:r w:rsidR="00257F5E" w:rsidRPr="00257F5E">
        <w:rPr>
          <w:rFonts w:cstheme="majorBidi"/>
          <w:szCs w:val="28"/>
          <w:lang w:bidi="ar-EG"/>
        </w:rPr>
        <w:t>lacks the statistical power to generalize findings to the broader pediatric population or perform comparative subgroup analyses</w:t>
      </w:r>
      <w:r w:rsidRPr="00C87D91">
        <w:rPr>
          <w:rFonts w:cstheme="majorBidi"/>
          <w:szCs w:val="28"/>
          <w:lang w:bidi="ar-EG"/>
        </w:rPr>
        <w:t xml:space="preserve">. </w:t>
      </w:r>
      <w:r w:rsidR="00257F5E">
        <w:rPr>
          <w:rFonts w:cstheme="majorBidi"/>
          <w:szCs w:val="28"/>
          <w:lang w:bidi="ar-EG"/>
        </w:rPr>
        <w:t>Second</w:t>
      </w:r>
      <w:r w:rsidRPr="00C87D91">
        <w:rPr>
          <w:rFonts w:cstheme="majorBidi"/>
          <w:szCs w:val="28"/>
          <w:lang w:bidi="ar-EG"/>
        </w:rPr>
        <w:t>, the follow-up period was limited to 3 months; while this is sufficient to assess peak efficacy of BTX-A</w:t>
      </w:r>
      <w:r w:rsidR="00257F5E">
        <w:rPr>
          <w:rFonts w:cstheme="majorBidi"/>
          <w:szCs w:val="28"/>
          <w:lang w:bidi="ar-EG"/>
        </w:rPr>
        <w:t>, it does not account for long-term efficacy and safety of the intervention, or the need for repeated injections</w:t>
      </w:r>
      <w:r w:rsidRPr="00C87D91">
        <w:rPr>
          <w:rFonts w:cstheme="majorBidi"/>
          <w:szCs w:val="28"/>
          <w:lang w:bidi="ar-EG"/>
        </w:rPr>
        <w:t xml:space="preserve">. </w:t>
      </w:r>
      <w:r w:rsidR="00257F5E">
        <w:rPr>
          <w:rFonts w:cstheme="majorBidi"/>
          <w:szCs w:val="28"/>
          <w:lang w:bidi="ar-EG"/>
        </w:rPr>
        <w:t>Third</w:t>
      </w:r>
      <w:r w:rsidRPr="00C87D91">
        <w:rPr>
          <w:rFonts w:cstheme="majorBidi"/>
          <w:szCs w:val="28"/>
          <w:lang w:bidi="ar-EG"/>
        </w:rPr>
        <w:t xml:space="preserve">, the lack of a control group that </w:t>
      </w:r>
      <w:r w:rsidR="00257F5E" w:rsidRPr="00C87D91">
        <w:rPr>
          <w:rFonts w:cstheme="majorBidi"/>
          <w:szCs w:val="28"/>
          <w:lang w:bidi="ar-EG"/>
        </w:rPr>
        <w:t>receives</w:t>
      </w:r>
      <w:r w:rsidRPr="00C87D91">
        <w:rPr>
          <w:rFonts w:cstheme="majorBidi"/>
          <w:szCs w:val="28"/>
          <w:lang w:bidi="ar-EG"/>
        </w:rPr>
        <w:t xml:space="preserve"> other alternative treatments or placebo </w:t>
      </w:r>
      <w:r w:rsidR="00257F5E" w:rsidRPr="00C87D91">
        <w:rPr>
          <w:rFonts w:cstheme="majorBidi"/>
          <w:szCs w:val="28"/>
          <w:lang w:bidi="ar-EG"/>
        </w:rPr>
        <w:t>limits</w:t>
      </w:r>
      <w:r w:rsidRPr="00C87D91">
        <w:rPr>
          <w:rFonts w:cstheme="majorBidi"/>
          <w:szCs w:val="28"/>
          <w:lang w:bidi="ar-EG"/>
        </w:rPr>
        <w:t xml:space="preserve"> our ability to rule out placebo effects or spontaneous resolution, although we can posit that the refractory nature of the patients render spontaneous resolution less likely to occur.</w:t>
      </w:r>
      <w:r w:rsidR="00257F5E">
        <w:rPr>
          <w:rFonts w:cstheme="majorBidi"/>
          <w:szCs w:val="28"/>
          <w:lang w:bidi="ar-EG"/>
        </w:rPr>
        <w:t xml:space="preserve"> Fourth, the qualitative assessment for QoL, while practical for this small cohort study, lacks the precision of a standardized validated </w:t>
      </w:r>
      <w:r w:rsidR="00257F5E" w:rsidRPr="00257F5E">
        <w:rPr>
          <w:rFonts w:cstheme="majorBidi"/>
          <w:szCs w:val="28"/>
          <w:lang w:bidi="ar-EG"/>
        </w:rPr>
        <w:t>pediatric urology scoring system.</w:t>
      </w:r>
    </w:p>
    <w:p w14:paraId="7BF4B8C8" w14:textId="4E9C5390" w:rsidR="00D9367C" w:rsidRDefault="00D9367C" w:rsidP="00DC11CA">
      <w:pPr>
        <w:rPr>
          <w:b/>
          <w:bCs/>
          <w:sz w:val="28"/>
          <w:szCs w:val="28"/>
        </w:rPr>
      </w:pPr>
      <w:r w:rsidRPr="00A91912">
        <w:rPr>
          <w:b/>
          <w:bCs/>
          <w:sz w:val="28"/>
          <w:szCs w:val="28"/>
        </w:rPr>
        <w:t>Conclusion</w:t>
      </w:r>
    </w:p>
    <w:p w14:paraId="5FB81626" w14:textId="77777777" w:rsidR="004E2100" w:rsidRPr="004E2100" w:rsidRDefault="004E2100" w:rsidP="004E2100">
      <w:r w:rsidRPr="004E2100">
        <w:lastRenderedPageBreak/>
        <w:t>This case series reinforces that intradetursor BTX-A injection is a viable, effective and minimally invasive option for refractory OAB patients that can result in complete clinical dryness and QoL improvement in a large set of patients.</w:t>
      </w:r>
    </w:p>
    <w:p w14:paraId="0C6F2139" w14:textId="4E800039" w:rsidR="00C3117D" w:rsidRPr="00CB724E" w:rsidRDefault="00C3117D" w:rsidP="008A1F55"/>
    <w:p w14:paraId="13D773EA" w14:textId="77777777" w:rsidR="00B429EA" w:rsidRDefault="00DD1C75" w:rsidP="00DC11CA">
      <w:pPr>
        <w:pStyle w:val="Heading2"/>
        <w:spacing w:after="208"/>
        <w:ind w:left="0" w:right="6182"/>
      </w:pPr>
      <w:r>
        <w:t>Sources of funding</w:t>
      </w:r>
      <w:r>
        <w:rPr>
          <w:u w:val="none"/>
        </w:rPr>
        <w:t xml:space="preserve"> </w:t>
      </w:r>
    </w:p>
    <w:p w14:paraId="4B86A0C3" w14:textId="77777777" w:rsidR="00B429EA" w:rsidRDefault="00DD1C75" w:rsidP="00DC11CA">
      <w:pPr>
        <w:ind w:right="14"/>
      </w:pPr>
      <w:r>
        <w:t xml:space="preserve">This research did not receive any specific grant from funding agencies in the public, commercial, or not-for-profit sectors. </w:t>
      </w:r>
    </w:p>
    <w:p w14:paraId="06D240FE" w14:textId="77777777" w:rsidR="00B429EA" w:rsidRDefault="00DD1C75" w:rsidP="00DC11CA">
      <w:pPr>
        <w:spacing w:after="17" w:line="259" w:lineRule="auto"/>
        <w:jc w:val="left"/>
      </w:pPr>
      <w:r>
        <w:rPr>
          <w:sz w:val="20"/>
        </w:rPr>
        <w:t xml:space="preserve"> </w:t>
      </w:r>
    </w:p>
    <w:p w14:paraId="4B14162E" w14:textId="77777777" w:rsidR="00B429EA" w:rsidRDefault="00DD1C75" w:rsidP="00DC11CA">
      <w:pPr>
        <w:spacing w:after="1" w:line="259" w:lineRule="auto"/>
        <w:ind w:right="5697"/>
        <w:jc w:val="left"/>
      </w:pPr>
      <w:r>
        <w:rPr>
          <w:b/>
          <w:u w:val="single" w:color="000000"/>
        </w:rPr>
        <w:t>Author contribution</w:t>
      </w:r>
      <w:r>
        <w:rPr>
          <w:b/>
        </w:rPr>
        <w:t xml:space="preserve"> </w:t>
      </w:r>
    </w:p>
    <w:p w14:paraId="5CA3CE9B" w14:textId="77777777" w:rsidR="00B429EA" w:rsidRDefault="00DD1C75" w:rsidP="00DC11CA">
      <w:pPr>
        <w:spacing w:after="17" w:line="259" w:lineRule="auto"/>
        <w:ind w:right="5697"/>
        <w:jc w:val="left"/>
      </w:pPr>
      <w:r>
        <w:rPr>
          <w:b/>
          <w:sz w:val="20"/>
        </w:rPr>
        <w:t xml:space="preserve"> </w:t>
      </w:r>
    </w:p>
    <w:p w14:paraId="1339FFBB" w14:textId="77777777" w:rsidR="00B429EA" w:rsidRDefault="00DD1C75" w:rsidP="00DC11CA">
      <w:pPr>
        <w:spacing w:after="230"/>
        <w:ind w:right="14"/>
      </w:pPr>
      <w:r>
        <w:t>Authors contributed equally to the study</w:t>
      </w:r>
      <w:r>
        <w:rPr>
          <w:b/>
        </w:rPr>
        <w:t xml:space="preserve">. </w:t>
      </w:r>
    </w:p>
    <w:p w14:paraId="3314603B" w14:textId="537CCF95" w:rsidR="00B429EA" w:rsidRDefault="00DD1C75" w:rsidP="00DC11CA">
      <w:pPr>
        <w:spacing w:after="213" w:line="259" w:lineRule="auto"/>
        <w:ind w:right="5877"/>
        <w:jc w:val="left"/>
      </w:pPr>
      <w:r>
        <w:rPr>
          <w:b/>
          <w:u w:val="single" w:color="000000"/>
        </w:rPr>
        <w:t>Conflicts o</w:t>
      </w:r>
      <w:r w:rsidR="006B556E">
        <w:rPr>
          <w:b/>
          <w:u w:val="single" w:color="000000"/>
        </w:rPr>
        <w:t>f I</w:t>
      </w:r>
      <w:r>
        <w:rPr>
          <w:b/>
          <w:u w:val="single" w:color="000000"/>
        </w:rPr>
        <w:t>nterest</w:t>
      </w:r>
      <w:r>
        <w:rPr>
          <w:b/>
        </w:rPr>
        <w:t xml:space="preserve"> </w:t>
      </w:r>
    </w:p>
    <w:p w14:paraId="7068B8BD" w14:textId="0DA19D7C" w:rsidR="00B429EA" w:rsidRDefault="00DD1C75" w:rsidP="00DC11CA">
      <w:pPr>
        <w:ind w:right="14"/>
      </w:pPr>
      <w:r>
        <w:t xml:space="preserve">No conflicts of interest </w:t>
      </w:r>
    </w:p>
    <w:p w14:paraId="4514AFA8" w14:textId="77777777" w:rsidR="006B556E" w:rsidRDefault="006B556E" w:rsidP="00DC11CA">
      <w:pPr>
        <w:ind w:right="14"/>
      </w:pPr>
    </w:p>
    <w:p w14:paraId="7C840BFD" w14:textId="20AA243B" w:rsidR="00630DA9" w:rsidRPr="00FF288D" w:rsidRDefault="00DD1C75" w:rsidP="00DC11CA">
      <w:pPr>
        <w:pStyle w:val="Heading2"/>
        <w:spacing w:after="135"/>
        <w:ind w:left="0" w:right="6182"/>
        <w:rPr>
          <w:u w:val="none"/>
          <w:lang w:val="pt-BR"/>
        </w:rPr>
      </w:pPr>
      <w:r w:rsidRPr="00FF288D">
        <w:rPr>
          <w:lang w:val="pt-BR"/>
        </w:rPr>
        <w:t>References</w:t>
      </w:r>
      <w:r w:rsidRPr="00FF288D">
        <w:rPr>
          <w:u w:val="none"/>
          <w:lang w:val="pt-BR"/>
        </w:rPr>
        <w:t xml:space="preserve"> </w:t>
      </w:r>
    </w:p>
    <w:p w14:paraId="686CEA03" w14:textId="77777777" w:rsidR="009269BA" w:rsidRPr="009269BA" w:rsidRDefault="00EF578A" w:rsidP="009269BA">
      <w:pPr>
        <w:pStyle w:val="Bibliography"/>
      </w:pPr>
      <w:r>
        <w:fldChar w:fldCharType="begin"/>
      </w:r>
      <w:r w:rsidR="009269BA">
        <w:rPr>
          <w:lang w:val="pt-BR"/>
        </w:rPr>
        <w:instrText xml:space="preserve"> ADDIN ZOTERO_BIBL {"uncited":[],"omitted":[],"custom":[]} CSL_BIBLIOGRAPHY </w:instrText>
      </w:r>
      <w:r>
        <w:fldChar w:fldCharType="separate"/>
      </w:r>
      <w:r w:rsidR="009269BA" w:rsidRPr="009269BA">
        <w:rPr>
          <w:lang w:val="pt-BR"/>
        </w:rPr>
        <w:t>1.</w:t>
      </w:r>
      <w:r w:rsidR="009269BA" w:rsidRPr="009269BA">
        <w:rPr>
          <w:lang w:val="pt-BR"/>
        </w:rPr>
        <w:tab/>
        <w:t xml:space="preserve">Scarneciu I, Lupu S, Bratu OG, Teodorescu A, Maxim LS, Brinza A, et al. </w:t>
      </w:r>
      <w:r w:rsidR="009269BA" w:rsidRPr="009269BA">
        <w:t xml:space="preserve">Overactive bladder: A review and update. Exp Ther Med. 2021 Dec;22(6):1444. </w:t>
      </w:r>
    </w:p>
    <w:p w14:paraId="355A725F" w14:textId="77777777" w:rsidR="009269BA" w:rsidRPr="009269BA" w:rsidRDefault="009269BA" w:rsidP="009269BA">
      <w:pPr>
        <w:pStyle w:val="Bibliography"/>
      </w:pPr>
      <w:r w:rsidRPr="009269BA">
        <w:t>2.</w:t>
      </w:r>
      <w:r w:rsidRPr="009269BA">
        <w:tab/>
        <w:t xml:space="preserve">Leron E, Weintraub AY, Mastrolia SA, Schwarzman P. Overactive Bladder Syndrome: Evaluation and Management. Curr Urol. 2018 Mar;11(3):117–25. </w:t>
      </w:r>
    </w:p>
    <w:p w14:paraId="69E274F6" w14:textId="77777777" w:rsidR="009269BA" w:rsidRPr="009269BA" w:rsidRDefault="009269BA" w:rsidP="009269BA">
      <w:pPr>
        <w:pStyle w:val="Bibliography"/>
      </w:pPr>
      <w:r w:rsidRPr="009269BA">
        <w:t>3.</w:t>
      </w:r>
      <w:r w:rsidRPr="009269BA">
        <w:tab/>
        <w:t xml:space="preserve">He Q, Li B, Zhang C, Zhang J, Luo D, Wang K. Treatment for refractory overactive bladder: a systematic review and meta-analysis of sacral neuromodulation and onabotulinumtoxinA. Int Urogynecol J. 2021 Mar;32(3):477–84. </w:t>
      </w:r>
    </w:p>
    <w:p w14:paraId="2FADE207" w14:textId="77777777" w:rsidR="009269BA" w:rsidRPr="009269BA" w:rsidRDefault="009269BA" w:rsidP="009269BA">
      <w:pPr>
        <w:pStyle w:val="Bibliography"/>
      </w:pPr>
      <w:r w:rsidRPr="009269BA">
        <w:t>4.</w:t>
      </w:r>
      <w:r w:rsidRPr="009269BA">
        <w:tab/>
        <w:t xml:space="preserve">Chen LC, Kuo HC. Current management of refractory overactive bladder. Low Urin Tract Symptoms. 2020 May;12(2):109–16. </w:t>
      </w:r>
    </w:p>
    <w:p w14:paraId="3CC4E628" w14:textId="77777777" w:rsidR="009269BA" w:rsidRPr="009269BA" w:rsidRDefault="009269BA" w:rsidP="009269BA">
      <w:pPr>
        <w:pStyle w:val="Bibliography"/>
      </w:pPr>
      <w:r w:rsidRPr="009269BA">
        <w:t>5.</w:t>
      </w:r>
      <w:r w:rsidRPr="009269BA">
        <w:tab/>
        <w:t xml:space="preserve">Zulli A, Carletti V, Mantovani A, Cerruto MA, Giacomello L. Intravesical Botulin Toxin-A Injections for Neurogenic Bladder Dysfunction in Children: Summary Update on Last 10 Years of Research. Toxins (Basel). 2024 Aug 1;16(8):339. </w:t>
      </w:r>
    </w:p>
    <w:p w14:paraId="68BE6E89" w14:textId="77777777" w:rsidR="009269BA" w:rsidRPr="009269BA" w:rsidRDefault="009269BA" w:rsidP="009269BA">
      <w:pPr>
        <w:pStyle w:val="Bibliography"/>
      </w:pPr>
      <w:r w:rsidRPr="009269BA">
        <w:t>6.</w:t>
      </w:r>
      <w:r w:rsidRPr="009269BA">
        <w:tab/>
        <w:t xml:space="preserve">Ingham J, Angotti R, Lewis M, Goyal A. Onabotulinum toxin A in children with refractory idiopathic overactive bladder: medium-term outcomes. J Pediatr Urol. 2019 Feb;15(1):32.e1-32.e5. </w:t>
      </w:r>
    </w:p>
    <w:p w14:paraId="6CA36E16" w14:textId="77777777" w:rsidR="009269BA" w:rsidRPr="009269BA" w:rsidRDefault="009269BA" w:rsidP="009269BA">
      <w:pPr>
        <w:pStyle w:val="Bibliography"/>
      </w:pPr>
      <w:r w:rsidRPr="009269BA">
        <w:t>7.</w:t>
      </w:r>
      <w:r w:rsidRPr="009269BA">
        <w:tab/>
        <w:t xml:space="preserve">Frainey BT, Clayton DB. OnabotulinumtoxinA is now an important tool for managing pediatric neurogenic lower urinary tract dysfunction. Front Pediatr. 2024 June 3;12:1407009. </w:t>
      </w:r>
    </w:p>
    <w:p w14:paraId="54C3268C" w14:textId="77777777" w:rsidR="009269BA" w:rsidRPr="009269BA" w:rsidRDefault="009269BA" w:rsidP="009269BA">
      <w:pPr>
        <w:pStyle w:val="Bibliography"/>
      </w:pPr>
      <w:r w:rsidRPr="009269BA">
        <w:t>8.</w:t>
      </w:r>
      <w:r w:rsidRPr="009269BA">
        <w:tab/>
        <w:t xml:space="preserve">Al-Rimawi SM, Alrimawi I, Ibrahim MM, Oleimat B, Elayan AM, Khatatbeh H, et al. The Effect of Intravesical Injection of Botulinum Toxin A (BTX-A) on Quality of Life of Pediatrics Diagnosed With Overactive Bladder: A Quasi-Experimental Study. Sage Open Pediatrics. 2025 Feb 1;12:30502225251346341. </w:t>
      </w:r>
    </w:p>
    <w:p w14:paraId="5DAA99B5" w14:textId="77777777" w:rsidR="009269BA" w:rsidRPr="009269BA" w:rsidRDefault="009269BA" w:rsidP="009269BA">
      <w:pPr>
        <w:pStyle w:val="Bibliography"/>
      </w:pPr>
      <w:r w:rsidRPr="009269BA">
        <w:lastRenderedPageBreak/>
        <w:t>9.</w:t>
      </w:r>
      <w:r w:rsidRPr="009269BA">
        <w:tab/>
        <w:t xml:space="preserve">Schurch B, Schmid DM, Stöhrer M. Treatment of neurogenic incontinence with botulinum toxin A. N Engl J Med. 2000 Mar 2;342(9):665. </w:t>
      </w:r>
    </w:p>
    <w:p w14:paraId="74D78E37" w14:textId="77777777" w:rsidR="009269BA" w:rsidRPr="009269BA" w:rsidRDefault="009269BA" w:rsidP="009269BA">
      <w:pPr>
        <w:pStyle w:val="Bibliography"/>
      </w:pPr>
      <w:r w:rsidRPr="009269BA">
        <w:t>10.</w:t>
      </w:r>
      <w:r w:rsidRPr="009269BA">
        <w:tab/>
        <w:t xml:space="preserve">Ginsberg D, Gousse A, Keppenne V, Sievert KD, Thompson C, Lam W, et al. Phase 3 efficacy and tolerability study of onabotulinumtoxinA for urinary incontinence from neurogenic detrusor overactivity. J Urol. 2012 June;187(6):2131–9. </w:t>
      </w:r>
    </w:p>
    <w:p w14:paraId="0C77CF8A" w14:textId="77777777" w:rsidR="009269BA" w:rsidRPr="009269BA" w:rsidRDefault="009269BA" w:rsidP="009269BA">
      <w:pPr>
        <w:pStyle w:val="Bibliography"/>
      </w:pPr>
      <w:r w:rsidRPr="009269BA">
        <w:t>11.</w:t>
      </w:r>
      <w:r w:rsidRPr="009269BA">
        <w:tab/>
        <w:t xml:space="preserve">Grishin A, Spaska A, Kayumova L. Correction of overactive bladder with botulinum toxin type A (BTX-A). Toxicon. 2021 Sept 1;200:96–101. </w:t>
      </w:r>
    </w:p>
    <w:p w14:paraId="6B61A8D6" w14:textId="77777777" w:rsidR="009269BA" w:rsidRPr="009269BA" w:rsidRDefault="009269BA" w:rsidP="009269BA">
      <w:pPr>
        <w:pStyle w:val="Bibliography"/>
      </w:pPr>
      <w:r w:rsidRPr="009269BA">
        <w:t>12.</w:t>
      </w:r>
      <w:r w:rsidRPr="009269BA">
        <w:tab/>
        <w:t xml:space="preserve">Seth J, Dowson C, Khan M, Panicker J, Fowler C, Dasgupta P, et al. Botulinum toxin-A for the treatment of overactive bladder: UK contributions. J Clin Urol. 2013 Mar;6(2):77–83. </w:t>
      </w:r>
    </w:p>
    <w:p w14:paraId="1C97136E" w14:textId="77777777" w:rsidR="009269BA" w:rsidRPr="009269BA" w:rsidRDefault="009269BA" w:rsidP="009269BA">
      <w:pPr>
        <w:pStyle w:val="Bibliography"/>
      </w:pPr>
      <w:r w:rsidRPr="009269BA">
        <w:t>13.</w:t>
      </w:r>
      <w:r w:rsidRPr="009269BA">
        <w:tab/>
        <w:t xml:space="preserve">Bayrak Ö, Sadioğlu E, Onur R. Botulinum toxin injections for treating neurogenic detrusor overactivity. Turk J Urol. 2015 Dec;41(4):221–7. </w:t>
      </w:r>
    </w:p>
    <w:p w14:paraId="6AD115D6" w14:textId="77777777" w:rsidR="009269BA" w:rsidRPr="009269BA" w:rsidRDefault="009269BA" w:rsidP="009269BA">
      <w:pPr>
        <w:pStyle w:val="Bibliography"/>
      </w:pPr>
      <w:r w:rsidRPr="009269BA">
        <w:t>14.</w:t>
      </w:r>
      <w:r w:rsidRPr="009269BA">
        <w:tab/>
        <w:t xml:space="preserve">Scheepe JR, Blok BFM, ’t Hoen LA. Applicability of botulinum toxin type A in paediatric neurogenic bladder management. Curr Opin Urol. 2017 Jan;27(1):14–9. </w:t>
      </w:r>
    </w:p>
    <w:p w14:paraId="723F9964" w14:textId="77777777" w:rsidR="009269BA" w:rsidRPr="009269BA" w:rsidRDefault="009269BA" w:rsidP="009269BA">
      <w:pPr>
        <w:pStyle w:val="Bibliography"/>
      </w:pPr>
      <w:r w:rsidRPr="009269BA">
        <w:t>15.</w:t>
      </w:r>
      <w:r w:rsidRPr="009269BA">
        <w:tab/>
        <w:t xml:space="preserve">Sahai A, Dowson C, Khan MS, Dasgupta P. Improvement in quality of life after botulinum toxin-A injections for idiopathic detrusor overactivity: results from a randomized double-blind placebo-controlled trial. BJU Int. 2009 June;103(11):1509–15. </w:t>
      </w:r>
    </w:p>
    <w:p w14:paraId="4E4B0E4D" w14:textId="69BD69FB" w:rsidR="009141E5" w:rsidRDefault="00EF578A" w:rsidP="00DC11CA">
      <w:r>
        <w:fldChar w:fldCharType="end"/>
      </w:r>
    </w:p>
    <w:p w14:paraId="66E64460" w14:textId="77777777" w:rsidR="000439F6" w:rsidRDefault="000439F6" w:rsidP="00DC11CA"/>
    <w:p w14:paraId="0BAB8C54" w14:textId="2C573E4B" w:rsidR="000439F6" w:rsidRDefault="000439F6" w:rsidP="00DC11CA">
      <w:pPr>
        <w:rPr>
          <w:rFonts w:eastAsia="Aptos" w:cs="Arial"/>
          <w:b/>
          <w:bCs/>
          <w:szCs w:val="20"/>
        </w:rPr>
      </w:pPr>
    </w:p>
    <w:p w14:paraId="01D662CA" w14:textId="77777777" w:rsidR="008D6BA9" w:rsidRDefault="008D6BA9" w:rsidP="00DC11CA">
      <w:pPr>
        <w:rPr>
          <w:rFonts w:eastAsia="Aptos" w:cs="Arial"/>
          <w:b/>
          <w:bCs/>
          <w:szCs w:val="20"/>
        </w:rPr>
      </w:pPr>
    </w:p>
    <w:p w14:paraId="2EEDE31E" w14:textId="77777777" w:rsidR="008D6BA9" w:rsidRDefault="008D6BA9" w:rsidP="00DC11CA">
      <w:pPr>
        <w:rPr>
          <w:rFonts w:eastAsia="Aptos" w:cs="Arial"/>
          <w:b/>
          <w:bCs/>
          <w:szCs w:val="20"/>
        </w:rPr>
      </w:pPr>
    </w:p>
    <w:p w14:paraId="56E4D9DC" w14:textId="77777777" w:rsidR="008D6BA9" w:rsidRDefault="008D6BA9" w:rsidP="00DC11CA">
      <w:pPr>
        <w:rPr>
          <w:rFonts w:eastAsia="Aptos" w:cs="Arial"/>
          <w:b/>
          <w:bCs/>
          <w:szCs w:val="20"/>
        </w:rPr>
      </w:pPr>
    </w:p>
    <w:p w14:paraId="60952C06" w14:textId="77777777" w:rsidR="008D6BA9" w:rsidRDefault="008D6BA9" w:rsidP="00DC11CA">
      <w:pPr>
        <w:rPr>
          <w:rFonts w:eastAsia="Aptos" w:cs="Arial"/>
          <w:b/>
          <w:bCs/>
          <w:szCs w:val="20"/>
        </w:rPr>
      </w:pPr>
    </w:p>
    <w:p w14:paraId="445B9B29" w14:textId="77777777" w:rsidR="008D6BA9" w:rsidRDefault="008D6BA9" w:rsidP="00DC11CA">
      <w:pPr>
        <w:rPr>
          <w:rFonts w:eastAsia="Aptos" w:cs="Arial"/>
          <w:b/>
          <w:bCs/>
          <w:szCs w:val="20"/>
        </w:rPr>
      </w:pPr>
    </w:p>
    <w:p w14:paraId="356F7359" w14:textId="77777777" w:rsidR="008D6BA9" w:rsidRDefault="008D6BA9" w:rsidP="00DC11CA">
      <w:pPr>
        <w:rPr>
          <w:rFonts w:eastAsia="Aptos" w:cs="Arial"/>
          <w:b/>
          <w:bCs/>
          <w:szCs w:val="20"/>
        </w:rPr>
      </w:pPr>
    </w:p>
    <w:p w14:paraId="600265F3" w14:textId="77777777" w:rsidR="008D6BA9" w:rsidRDefault="008D6BA9" w:rsidP="00DC11CA">
      <w:pPr>
        <w:rPr>
          <w:rFonts w:eastAsia="Aptos" w:cs="Arial"/>
          <w:b/>
          <w:bCs/>
          <w:szCs w:val="20"/>
        </w:rPr>
      </w:pPr>
    </w:p>
    <w:p w14:paraId="4DDD4D6E" w14:textId="77777777" w:rsidR="008D6BA9" w:rsidRDefault="008D6BA9" w:rsidP="00DC11CA">
      <w:pPr>
        <w:rPr>
          <w:rFonts w:eastAsia="Aptos" w:cs="Arial"/>
          <w:b/>
          <w:bCs/>
          <w:szCs w:val="20"/>
        </w:rPr>
      </w:pPr>
    </w:p>
    <w:p w14:paraId="4A367BAD" w14:textId="77777777" w:rsidR="008D6BA9" w:rsidRDefault="008D6BA9" w:rsidP="00DC11CA">
      <w:pPr>
        <w:rPr>
          <w:rFonts w:eastAsia="Aptos" w:cs="Arial"/>
          <w:b/>
          <w:bCs/>
          <w:szCs w:val="20"/>
        </w:rPr>
      </w:pPr>
    </w:p>
    <w:p w14:paraId="7A7646C8" w14:textId="77777777" w:rsidR="008D6BA9" w:rsidRDefault="008D6BA9" w:rsidP="00DC11CA">
      <w:pPr>
        <w:rPr>
          <w:rFonts w:eastAsia="Aptos" w:cs="Arial"/>
          <w:b/>
          <w:bCs/>
          <w:szCs w:val="20"/>
        </w:rPr>
      </w:pPr>
    </w:p>
    <w:p w14:paraId="0BAF287C" w14:textId="77777777" w:rsidR="008D6BA9" w:rsidRDefault="008D6BA9" w:rsidP="00DC11CA">
      <w:pPr>
        <w:rPr>
          <w:rFonts w:eastAsia="Aptos" w:cs="Arial"/>
          <w:b/>
          <w:bCs/>
          <w:szCs w:val="20"/>
        </w:rPr>
      </w:pPr>
    </w:p>
    <w:p w14:paraId="60604562" w14:textId="77777777" w:rsidR="008D6BA9" w:rsidRDefault="008D6BA9" w:rsidP="00DC11CA">
      <w:pPr>
        <w:rPr>
          <w:rFonts w:eastAsia="Aptos" w:cs="Arial"/>
          <w:b/>
          <w:bCs/>
          <w:szCs w:val="20"/>
          <w:rtl/>
        </w:rPr>
      </w:pPr>
    </w:p>
    <w:p w14:paraId="12021657" w14:textId="77777777" w:rsidR="007E7F88" w:rsidRDefault="007E7F88" w:rsidP="00DC11CA">
      <w:pPr>
        <w:rPr>
          <w:rFonts w:eastAsia="Aptos" w:cs="Arial"/>
          <w:b/>
          <w:bCs/>
          <w:szCs w:val="20"/>
          <w:rtl/>
        </w:rPr>
      </w:pPr>
    </w:p>
    <w:p w14:paraId="5FB820DB" w14:textId="77777777" w:rsidR="007E7F88" w:rsidRDefault="007E7F88" w:rsidP="00DC11CA">
      <w:pPr>
        <w:rPr>
          <w:rFonts w:eastAsia="Aptos" w:cs="Arial"/>
          <w:b/>
          <w:bCs/>
          <w:szCs w:val="20"/>
          <w:rtl/>
        </w:rPr>
      </w:pPr>
    </w:p>
    <w:p w14:paraId="3E6ADE7F" w14:textId="77777777" w:rsidR="007E7F88" w:rsidRDefault="007E7F88" w:rsidP="00DC11CA">
      <w:pPr>
        <w:rPr>
          <w:rFonts w:eastAsia="Aptos" w:cs="Arial"/>
          <w:b/>
          <w:bCs/>
          <w:szCs w:val="20"/>
        </w:rPr>
      </w:pPr>
    </w:p>
    <w:p w14:paraId="3286F2EE" w14:textId="77777777" w:rsidR="007E7F88" w:rsidRDefault="007E7F88" w:rsidP="008D6BA9">
      <w:pPr>
        <w:jc w:val="center"/>
        <w:rPr>
          <w:b/>
          <w:bCs/>
        </w:rPr>
        <w:sectPr w:rsidR="007E7F88" w:rsidSect="0001634E">
          <w:headerReference w:type="even" r:id="rId8"/>
          <w:headerReference w:type="default" r:id="rId9"/>
          <w:footerReference w:type="even" r:id="rId10"/>
          <w:footerReference w:type="default" r:id="rId11"/>
          <w:headerReference w:type="first" r:id="rId12"/>
          <w:footerReference w:type="first" r:id="rId13"/>
          <w:pgSz w:w="11907" w:h="16839" w:code="167"/>
          <w:pgMar w:top="1440" w:right="1800" w:bottom="1440" w:left="1800" w:header="720" w:footer="720" w:gutter="0"/>
          <w:cols w:space="720"/>
          <w:titlePg/>
          <w:docGrid w:linePitch="326"/>
        </w:sectPr>
      </w:pPr>
    </w:p>
    <w:p w14:paraId="4745ECD4" w14:textId="3B3BF785" w:rsidR="008D6BA9" w:rsidRDefault="008D6BA9" w:rsidP="008D6BA9">
      <w:pPr>
        <w:jc w:val="center"/>
        <w:rPr>
          <w:b/>
          <w:bCs/>
        </w:rPr>
      </w:pPr>
      <w:r w:rsidRPr="008D6BA9">
        <w:rPr>
          <w:b/>
          <w:bCs/>
        </w:rPr>
        <w:lastRenderedPageBreak/>
        <w:t>Table 1: Baseline Demographics and Urodynamic Profile</w:t>
      </w:r>
    </w:p>
    <w:tbl>
      <w:tblPr>
        <w:tblStyle w:val="TableGrid0"/>
        <w:tblW w:w="5000" w:type="pct"/>
        <w:jc w:val="center"/>
        <w:tblLook w:val="04A0" w:firstRow="1" w:lastRow="0" w:firstColumn="1" w:lastColumn="0" w:noHBand="0" w:noVBand="1"/>
      </w:tblPr>
      <w:tblGrid>
        <w:gridCol w:w="1108"/>
        <w:gridCol w:w="1154"/>
        <w:gridCol w:w="1383"/>
        <w:gridCol w:w="1624"/>
        <w:gridCol w:w="1982"/>
        <w:gridCol w:w="2067"/>
        <w:gridCol w:w="2067"/>
        <w:gridCol w:w="961"/>
        <w:gridCol w:w="1829"/>
      </w:tblGrid>
      <w:tr w:rsidR="005526DD" w:rsidRPr="007E7F88" w14:paraId="5BF74EE7" w14:textId="77777777" w:rsidTr="005526DD">
        <w:trPr>
          <w:jc w:val="center"/>
        </w:trPr>
        <w:tc>
          <w:tcPr>
            <w:tcW w:w="391" w:type="pct"/>
            <w:vAlign w:val="center"/>
            <w:hideMark/>
          </w:tcPr>
          <w:p w14:paraId="4D2A5F58"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Patient ID</w:t>
            </w:r>
          </w:p>
        </w:tc>
        <w:tc>
          <w:tcPr>
            <w:tcW w:w="407" w:type="pct"/>
            <w:vAlign w:val="center"/>
            <w:hideMark/>
          </w:tcPr>
          <w:p w14:paraId="6D987F8B"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Age / Gender</w:t>
            </w:r>
          </w:p>
        </w:tc>
        <w:tc>
          <w:tcPr>
            <w:tcW w:w="488" w:type="pct"/>
            <w:vAlign w:val="center"/>
            <w:hideMark/>
          </w:tcPr>
          <w:p w14:paraId="0E61E9C4"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Symptom Duration</w:t>
            </w:r>
          </w:p>
        </w:tc>
        <w:tc>
          <w:tcPr>
            <w:tcW w:w="573" w:type="pct"/>
            <w:vAlign w:val="center"/>
            <w:hideMark/>
          </w:tcPr>
          <w:p w14:paraId="5D51B7D4"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Previous Meds Failed</w:t>
            </w:r>
          </w:p>
        </w:tc>
        <w:tc>
          <w:tcPr>
            <w:tcW w:w="699" w:type="pct"/>
            <w:vAlign w:val="center"/>
            <w:hideMark/>
          </w:tcPr>
          <w:p w14:paraId="23061FA0"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Baseline Condition</w:t>
            </w:r>
          </w:p>
        </w:tc>
        <w:tc>
          <w:tcPr>
            <w:tcW w:w="729" w:type="pct"/>
            <w:vAlign w:val="center"/>
          </w:tcPr>
          <w:p w14:paraId="59517B5E" w14:textId="43BFE7AD" w:rsidR="005526DD" w:rsidRPr="007E7F88" w:rsidRDefault="005526DD" w:rsidP="007E7F88">
            <w:pPr>
              <w:jc w:val="center"/>
              <w:rPr>
                <w:rFonts w:asciiTheme="majorBidi" w:hAnsiTheme="majorBidi" w:cstheme="majorBidi"/>
                <w:b/>
                <w:bCs/>
                <w:lang w:bidi="ar-EG"/>
              </w:rPr>
            </w:pPr>
            <w:r w:rsidRPr="005526DD">
              <w:rPr>
                <w:rFonts w:asciiTheme="majorBidi" w:hAnsiTheme="majorBidi" w:cstheme="majorBidi"/>
                <w:b/>
                <w:bCs/>
                <w:lang w:bidi="ar-EG"/>
              </w:rPr>
              <w:t>Bladder Capacity (Baseline → 3-Mo)</w:t>
            </w:r>
          </w:p>
        </w:tc>
        <w:tc>
          <w:tcPr>
            <w:tcW w:w="729" w:type="pct"/>
            <w:vAlign w:val="center"/>
            <w:hideMark/>
          </w:tcPr>
          <w:p w14:paraId="3CF80E46" w14:textId="126C2198"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3-Month Clinical Outcome</w:t>
            </w:r>
          </w:p>
        </w:tc>
        <w:tc>
          <w:tcPr>
            <w:tcW w:w="339" w:type="pct"/>
            <w:vAlign w:val="center"/>
            <w:hideMark/>
          </w:tcPr>
          <w:p w14:paraId="13486268" w14:textId="096177FC"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PVR (post-BTX)</w:t>
            </w:r>
          </w:p>
        </w:tc>
        <w:tc>
          <w:tcPr>
            <w:tcW w:w="645" w:type="pct"/>
            <w:vAlign w:val="center"/>
            <w:hideMark/>
          </w:tcPr>
          <w:p w14:paraId="5AF3F47D"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b/>
                <w:bCs/>
                <w:lang w:bidi="ar-EG"/>
              </w:rPr>
              <w:t>QoL Improvement</w:t>
            </w:r>
          </w:p>
        </w:tc>
      </w:tr>
      <w:tr w:rsidR="005526DD" w:rsidRPr="007E7F88" w14:paraId="7247D869" w14:textId="77777777" w:rsidTr="005526DD">
        <w:trPr>
          <w:jc w:val="center"/>
        </w:trPr>
        <w:tc>
          <w:tcPr>
            <w:tcW w:w="391" w:type="pct"/>
            <w:vAlign w:val="center"/>
            <w:hideMark/>
          </w:tcPr>
          <w:p w14:paraId="399AD88C"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Case 1</w:t>
            </w:r>
          </w:p>
        </w:tc>
        <w:tc>
          <w:tcPr>
            <w:tcW w:w="407" w:type="pct"/>
            <w:vAlign w:val="center"/>
            <w:hideMark/>
          </w:tcPr>
          <w:p w14:paraId="04724A88"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13 / Female</w:t>
            </w:r>
          </w:p>
        </w:tc>
        <w:tc>
          <w:tcPr>
            <w:tcW w:w="488" w:type="pct"/>
            <w:vAlign w:val="center"/>
            <w:hideMark/>
          </w:tcPr>
          <w:p w14:paraId="2FA1E473"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4 Years</w:t>
            </w:r>
          </w:p>
        </w:tc>
        <w:tc>
          <w:tcPr>
            <w:tcW w:w="573" w:type="pct"/>
            <w:vAlign w:val="center"/>
            <w:hideMark/>
          </w:tcPr>
          <w:p w14:paraId="70C5ED96"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Oxybutynin, Solifenacin</w:t>
            </w:r>
          </w:p>
        </w:tc>
        <w:tc>
          <w:tcPr>
            <w:tcW w:w="699" w:type="pct"/>
            <w:vAlign w:val="center"/>
            <w:hideMark/>
          </w:tcPr>
          <w:p w14:paraId="74387D37"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Incontinence &amp; Hydronephrosis</w:t>
            </w:r>
          </w:p>
        </w:tc>
        <w:tc>
          <w:tcPr>
            <w:tcW w:w="729" w:type="pct"/>
            <w:vAlign w:val="center"/>
          </w:tcPr>
          <w:p w14:paraId="02E4AE93" w14:textId="7C728A7A" w:rsidR="005526DD" w:rsidRPr="005526DD" w:rsidRDefault="005526DD" w:rsidP="007E7F88">
            <w:pPr>
              <w:jc w:val="center"/>
              <w:rPr>
                <w:rFonts w:asciiTheme="majorBidi" w:hAnsiTheme="majorBidi" w:cstheme="majorBidi"/>
                <w:lang w:bidi="ar-EG"/>
              </w:rPr>
            </w:pPr>
            <w:r w:rsidRPr="005526DD">
              <w:rPr>
                <w:rFonts w:asciiTheme="majorBidi" w:hAnsiTheme="majorBidi" w:cstheme="majorBidi"/>
                <w:lang w:bidi="ar-EG"/>
              </w:rPr>
              <w:t>110 mL → 240 mL</w:t>
            </w:r>
          </w:p>
        </w:tc>
        <w:tc>
          <w:tcPr>
            <w:tcW w:w="729" w:type="pct"/>
            <w:vAlign w:val="center"/>
            <w:hideMark/>
          </w:tcPr>
          <w:p w14:paraId="36288C36" w14:textId="25F6AA01"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Resolved (Dry &amp; No Hydronephrosis)</w:t>
            </w:r>
          </w:p>
        </w:tc>
        <w:tc>
          <w:tcPr>
            <w:tcW w:w="339" w:type="pct"/>
            <w:vAlign w:val="center"/>
            <w:hideMark/>
          </w:tcPr>
          <w:p w14:paraId="4C97B661"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15 mL</w:t>
            </w:r>
          </w:p>
        </w:tc>
        <w:tc>
          <w:tcPr>
            <w:tcW w:w="645" w:type="pct"/>
            <w:vAlign w:val="center"/>
            <w:hideMark/>
          </w:tcPr>
          <w:p w14:paraId="733C7B01"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Significant</w:t>
            </w:r>
          </w:p>
        </w:tc>
      </w:tr>
      <w:tr w:rsidR="005526DD" w:rsidRPr="007E7F88" w14:paraId="01A878A3" w14:textId="77777777" w:rsidTr="005526DD">
        <w:trPr>
          <w:jc w:val="center"/>
        </w:trPr>
        <w:tc>
          <w:tcPr>
            <w:tcW w:w="391" w:type="pct"/>
            <w:vAlign w:val="center"/>
            <w:hideMark/>
          </w:tcPr>
          <w:p w14:paraId="49462882"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Case 2</w:t>
            </w:r>
          </w:p>
        </w:tc>
        <w:tc>
          <w:tcPr>
            <w:tcW w:w="407" w:type="pct"/>
            <w:vAlign w:val="center"/>
            <w:hideMark/>
          </w:tcPr>
          <w:p w14:paraId="238CE084"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15 / Female</w:t>
            </w:r>
          </w:p>
        </w:tc>
        <w:tc>
          <w:tcPr>
            <w:tcW w:w="488" w:type="pct"/>
            <w:vAlign w:val="center"/>
            <w:hideMark/>
          </w:tcPr>
          <w:p w14:paraId="6E8DE0E5"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6 Years</w:t>
            </w:r>
          </w:p>
        </w:tc>
        <w:tc>
          <w:tcPr>
            <w:tcW w:w="573" w:type="pct"/>
            <w:vAlign w:val="center"/>
            <w:hideMark/>
          </w:tcPr>
          <w:p w14:paraId="53F9B331"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Mirabegron, Oxybutynin</w:t>
            </w:r>
          </w:p>
        </w:tc>
        <w:tc>
          <w:tcPr>
            <w:tcW w:w="699" w:type="pct"/>
            <w:vAlign w:val="center"/>
            <w:hideMark/>
          </w:tcPr>
          <w:p w14:paraId="2D5C3E56"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Severe Incontinence</w:t>
            </w:r>
          </w:p>
        </w:tc>
        <w:tc>
          <w:tcPr>
            <w:tcW w:w="729" w:type="pct"/>
            <w:vAlign w:val="center"/>
          </w:tcPr>
          <w:p w14:paraId="0B8D0C5B" w14:textId="3432978B" w:rsidR="005526DD" w:rsidRPr="005526DD" w:rsidRDefault="005526DD" w:rsidP="005526DD">
            <w:pPr>
              <w:jc w:val="center"/>
              <w:rPr>
                <w:rFonts w:asciiTheme="majorBidi" w:hAnsiTheme="majorBidi" w:cstheme="majorBidi"/>
                <w:lang w:bidi="ar-EG"/>
              </w:rPr>
            </w:pPr>
            <w:r w:rsidRPr="005526DD">
              <w:rPr>
                <w:rFonts w:asciiTheme="majorBidi" w:hAnsiTheme="majorBidi" w:cstheme="majorBidi"/>
                <w:lang w:bidi="ar-EG"/>
              </w:rPr>
              <w:t>130 mL 285 mL</w:t>
            </w:r>
          </w:p>
        </w:tc>
        <w:tc>
          <w:tcPr>
            <w:tcW w:w="729" w:type="pct"/>
            <w:vAlign w:val="center"/>
            <w:hideMark/>
          </w:tcPr>
          <w:p w14:paraId="46D0336C" w14:textId="1A09F873"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Resolved (Complete Dryness)</w:t>
            </w:r>
          </w:p>
        </w:tc>
        <w:tc>
          <w:tcPr>
            <w:tcW w:w="339" w:type="pct"/>
            <w:vAlign w:val="center"/>
            <w:hideMark/>
          </w:tcPr>
          <w:p w14:paraId="3C518955"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10 mL</w:t>
            </w:r>
          </w:p>
        </w:tc>
        <w:tc>
          <w:tcPr>
            <w:tcW w:w="645" w:type="pct"/>
            <w:vAlign w:val="center"/>
            <w:hideMark/>
          </w:tcPr>
          <w:p w14:paraId="1F0E4637"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Significant</w:t>
            </w:r>
          </w:p>
        </w:tc>
      </w:tr>
      <w:tr w:rsidR="005526DD" w:rsidRPr="007E7F88" w14:paraId="54AF800B" w14:textId="77777777" w:rsidTr="005526DD">
        <w:trPr>
          <w:jc w:val="center"/>
        </w:trPr>
        <w:tc>
          <w:tcPr>
            <w:tcW w:w="391" w:type="pct"/>
            <w:vAlign w:val="center"/>
            <w:hideMark/>
          </w:tcPr>
          <w:p w14:paraId="3728B1B9"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Case 3</w:t>
            </w:r>
          </w:p>
        </w:tc>
        <w:tc>
          <w:tcPr>
            <w:tcW w:w="407" w:type="pct"/>
            <w:vAlign w:val="center"/>
            <w:hideMark/>
          </w:tcPr>
          <w:p w14:paraId="2F36DC01"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11 / Male</w:t>
            </w:r>
          </w:p>
        </w:tc>
        <w:tc>
          <w:tcPr>
            <w:tcW w:w="488" w:type="pct"/>
            <w:vAlign w:val="center"/>
            <w:hideMark/>
          </w:tcPr>
          <w:p w14:paraId="66A2D07A"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3 Years</w:t>
            </w:r>
          </w:p>
        </w:tc>
        <w:tc>
          <w:tcPr>
            <w:tcW w:w="573" w:type="pct"/>
            <w:vAlign w:val="center"/>
            <w:hideMark/>
          </w:tcPr>
          <w:p w14:paraId="0F24C86B"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Solifenacin, Tolterodine</w:t>
            </w:r>
          </w:p>
        </w:tc>
        <w:tc>
          <w:tcPr>
            <w:tcW w:w="699" w:type="pct"/>
            <w:vAlign w:val="center"/>
            <w:hideMark/>
          </w:tcPr>
          <w:p w14:paraId="11295A29"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Incontinence &amp; Hydronephrosis</w:t>
            </w:r>
          </w:p>
        </w:tc>
        <w:tc>
          <w:tcPr>
            <w:tcW w:w="729" w:type="pct"/>
            <w:vAlign w:val="center"/>
          </w:tcPr>
          <w:p w14:paraId="028FD4C6" w14:textId="4C9617FD" w:rsidR="005526DD" w:rsidRPr="005526DD" w:rsidRDefault="005526DD" w:rsidP="005526DD">
            <w:pPr>
              <w:jc w:val="center"/>
              <w:rPr>
                <w:rFonts w:asciiTheme="majorBidi" w:hAnsiTheme="majorBidi" w:cstheme="majorBidi"/>
                <w:lang w:bidi="ar-EG"/>
              </w:rPr>
            </w:pPr>
            <w:r w:rsidRPr="005526DD">
              <w:rPr>
                <w:rFonts w:asciiTheme="majorBidi" w:hAnsiTheme="majorBidi" w:cstheme="majorBidi"/>
                <w:lang w:bidi="ar-EG"/>
              </w:rPr>
              <w:t>95 mL 210 mL</w:t>
            </w:r>
          </w:p>
        </w:tc>
        <w:tc>
          <w:tcPr>
            <w:tcW w:w="729" w:type="pct"/>
            <w:vAlign w:val="center"/>
            <w:hideMark/>
          </w:tcPr>
          <w:p w14:paraId="7A748D97" w14:textId="3D1FA87F"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Resolved (Dry &amp; No Hydronephrosis)</w:t>
            </w:r>
          </w:p>
        </w:tc>
        <w:tc>
          <w:tcPr>
            <w:tcW w:w="339" w:type="pct"/>
            <w:vAlign w:val="center"/>
            <w:hideMark/>
          </w:tcPr>
          <w:p w14:paraId="6468CA9F"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20 mL</w:t>
            </w:r>
          </w:p>
        </w:tc>
        <w:tc>
          <w:tcPr>
            <w:tcW w:w="645" w:type="pct"/>
            <w:vAlign w:val="center"/>
            <w:hideMark/>
          </w:tcPr>
          <w:p w14:paraId="23321DD7"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Moderate</w:t>
            </w:r>
          </w:p>
        </w:tc>
      </w:tr>
      <w:tr w:rsidR="005526DD" w:rsidRPr="007E7F88" w14:paraId="38B06E7B" w14:textId="77777777" w:rsidTr="005526DD">
        <w:trPr>
          <w:jc w:val="center"/>
        </w:trPr>
        <w:tc>
          <w:tcPr>
            <w:tcW w:w="391" w:type="pct"/>
            <w:vAlign w:val="center"/>
            <w:hideMark/>
          </w:tcPr>
          <w:p w14:paraId="6BD01603"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Case 4</w:t>
            </w:r>
          </w:p>
        </w:tc>
        <w:tc>
          <w:tcPr>
            <w:tcW w:w="407" w:type="pct"/>
            <w:vAlign w:val="center"/>
            <w:hideMark/>
          </w:tcPr>
          <w:p w14:paraId="28E96023"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14 / Female</w:t>
            </w:r>
          </w:p>
        </w:tc>
        <w:tc>
          <w:tcPr>
            <w:tcW w:w="488" w:type="pct"/>
            <w:vAlign w:val="center"/>
            <w:hideMark/>
          </w:tcPr>
          <w:p w14:paraId="1C19D9B0"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5 Years</w:t>
            </w:r>
          </w:p>
        </w:tc>
        <w:tc>
          <w:tcPr>
            <w:tcW w:w="573" w:type="pct"/>
            <w:vAlign w:val="center"/>
            <w:hideMark/>
          </w:tcPr>
          <w:p w14:paraId="26C0E68B"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Oxybutynin, Mirabegron</w:t>
            </w:r>
          </w:p>
        </w:tc>
        <w:tc>
          <w:tcPr>
            <w:tcW w:w="699" w:type="pct"/>
            <w:vAlign w:val="center"/>
            <w:hideMark/>
          </w:tcPr>
          <w:p w14:paraId="51591F69"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Severe Incontinence</w:t>
            </w:r>
          </w:p>
        </w:tc>
        <w:tc>
          <w:tcPr>
            <w:tcW w:w="729" w:type="pct"/>
            <w:vAlign w:val="center"/>
          </w:tcPr>
          <w:p w14:paraId="243FC51C" w14:textId="1066B61C" w:rsidR="005526DD" w:rsidRPr="005526DD" w:rsidRDefault="005526DD" w:rsidP="005526DD">
            <w:pPr>
              <w:jc w:val="center"/>
              <w:rPr>
                <w:rFonts w:asciiTheme="majorBidi" w:hAnsiTheme="majorBidi" w:cstheme="majorBidi"/>
                <w:lang w:bidi="ar-EG"/>
              </w:rPr>
            </w:pPr>
            <w:r w:rsidRPr="005526DD">
              <w:rPr>
                <w:rFonts w:asciiTheme="majorBidi" w:hAnsiTheme="majorBidi" w:cstheme="majorBidi"/>
                <w:lang w:bidi="ar-EG"/>
              </w:rPr>
              <w:t>120 mL 265 mL</w:t>
            </w:r>
          </w:p>
        </w:tc>
        <w:tc>
          <w:tcPr>
            <w:tcW w:w="729" w:type="pct"/>
            <w:vAlign w:val="center"/>
            <w:hideMark/>
          </w:tcPr>
          <w:p w14:paraId="6316F2D5" w14:textId="62E2721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Resolved (Complete Dryness)</w:t>
            </w:r>
          </w:p>
        </w:tc>
        <w:tc>
          <w:tcPr>
            <w:tcW w:w="339" w:type="pct"/>
            <w:vAlign w:val="center"/>
            <w:hideMark/>
          </w:tcPr>
          <w:p w14:paraId="026EC09B"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12 mL</w:t>
            </w:r>
          </w:p>
        </w:tc>
        <w:tc>
          <w:tcPr>
            <w:tcW w:w="645" w:type="pct"/>
            <w:vAlign w:val="center"/>
            <w:hideMark/>
          </w:tcPr>
          <w:p w14:paraId="6DDFAB02"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Significant</w:t>
            </w:r>
          </w:p>
        </w:tc>
      </w:tr>
      <w:tr w:rsidR="005526DD" w:rsidRPr="007E7F88" w14:paraId="731156E3" w14:textId="77777777" w:rsidTr="005526DD">
        <w:trPr>
          <w:jc w:val="center"/>
        </w:trPr>
        <w:tc>
          <w:tcPr>
            <w:tcW w:w="391" w:type="pct"/>
            <w:vAlign w:val="center"/>
            <w:hideMark/>
          </w:tcPr>
          <w:p w14:paraId="638B2DBD"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Case 5</w:t>
            </w:r>
          </w:p>
        </w:tc>
        <w:tc>
          <w:tcPr>
            <w:tcW w:w="407" w:type="pct"/>
            <w:vAlign w:val="center"/>
            <w:hideMark/>
          </w:tcPr>
          <w:p w14:paraId="6D668951"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12 / Male</w:t>
            </w:r>
          </w:p>
        </w:tc>
        <w:tc>
          <w:tcPr>
            <w:tcW w:w="488" w:type="pct"/>
            <w:vAlign w:val="center"/>
            <w:hideMark/>
          </w:tcPr>
          <w:p w14:paraId="11AEEA94"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4 Years</w:t>
            </w:r>
          </w:p>
        </w:tc>
        <w:tc>
          <w:tcPr>
            <w:tcW w:w="573" w:type="pct"/>
            <w:vAlign w:val="center"/>
            <w:hideMark/>
          </w:tcPr>
          <w:p w14:paraId="7E69F6DE"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Solifenacin</w:t>
            </w:r>
          </w:p>
        </w:tc>
        <w:tc>
          <w:tcPr>
            <w:tcW w:w="699" w:type="pct"/>
            <w:vAlign w:val="center"/>
            <w:hideMark/>
          </w:tcPr>
          <w:p w14:paraId="4230B150"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Incontinence</w:t>
            </w:r>
          </w:p>
        </w:tc>
        <w:tc>
          <w:tcPr>
            <w:tcW w:w="729" w:type="pct"/>
            <w:vAlign w:val="center"/>
          </w:tcPr>
          <w:p w14:paraId="7ADA4CAB" w14:textId="0C1D06CE" w:rsidR="005526DD" w:rsidRPr="005526DD" w:rsidRDefault="005526DD" w:rsidP="005526DD">
            <w:pPr>
              <w:jc w:val="center"/>
              <w:rPr>
                <w:rFonts w:asciiTheme="majorBidi" w:hAnsiTheme="majorBidi" w:cstheme="majorBidi"/>
                <w:lang w:bidi="ar-EG"/>
              </w:rPr>
            </w:pPr>
            <w:r w:rsidRPr="005526DD">
              <w:rPr>
                <w:rFonts w:asciiTheme="majorBidi" w:hAnsiTheme="majorBidi" w:cstheme="majorBidi"/>
                <w:lang w:bidi="ar-EG"/>
              </w:rPr>
              <w:t>105 mL 230 mL</w:t>
            </w:r>
          </w:p>
        </w:tc>
        <w:tc>
          <w:tcPr>
            <w:tcW w:w="729" w:type="pct"/>
            <w:vAlign w:val="center"/>
            <w:hideMark/>
          </w:tcPr>
          <w:p w14:paraId="610F1DE8" w14:textId="3D798B1B"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Resolved (Complete Dryness)</w:t>
            </w:r>
          </w:p>
        </w:tc>
        <w:tc>
          <w:tcPr>
            <w:tcW w:w="339" w:type="pct"/>
            <w:vAlign w:val="center"/>
            <w:hideMark/>
          </w:tcPr>
          <w:p w14:paraId="1BFB30F0"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18 mL</w:t>
            </w:r>
          </w:p>
        </w:tc>
        <w:tc>
          <w:tcPr>
            <w:tcW w:w="645" w:type="pct"/>
            <w:vAlign w:val="center"/>
            <w:hideMark/>
          </w:tcPr>
          <w:p w14:paraId="0E9130FF"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Significant</w:t>
            </w:r>
          </w:p>
        </w:tc>
      </w:tr>
      <w:tr w:rsidR="005526DD" w:rsidRPr="007E7F88" w14:paraId="5550A178" w14:textId="77777777" w:rsidTr="005526DD">
        <w:trPr>
          <w:jc w:val="center"/>
        </w:trPr>
        <w:tc>
          <w:tcPr>
            <w:tcW w:w="391" w:type="pct"/>
            <w:vAlign w:val="center"/>
            <w:hideMark/>
          </w:tcPr>
          <w:p w14:paraId="7B3F41C4" w14:textId="77777777" w:rsidR="005526DD" w:rsidRPr="007E7F88" w:rsidRDefault="005526DD" w:rsidP="007E7F88">
            <w:pPr>
              <w:rPr>
                <w:rFonts w:asciiTheme="majorBidi" w:hAnsiTheme="majorBidi" w:cstheme="majorBidi"/>
                <w:lang w:bidi="ar-EG"/>
              </w:rPr>
            </w:pPr>
            <w:r w:rsidRPr="007E7F88">
              <w:rPr>
                <w:rFonts w:asciiTheme="majorBidi" w:hAnsiTheme="majorBidi" w:cstheme="majorBidi"/>
                <w:b/>
                <w:bCs/>
                <w:lang w:bidi="ar-EG"/>
              </w:rPr>
              <w:t>Case 6</w:t>
            </w:r>
          </w:p>
        </w:tc>
        <w:tc>
          <w:tcPr>
            <w:tcW w:w="407" w:type="pct"/>
            <w:vAlign w:val="center"/>
            <w:hideMark/>
          </w:tcPr>
          <w:p w14:paraId="44CAED6B"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16 / Male</w:t>
            </w:r>
          </w:p>
        </w:tc>
        <w:tc>
          <w:tcPr>
            <w:tcW w:w="488" w:type="pct"/>
            <w:vAlign w:val="center"/>
            <w:hideMark/>
          </w:tcPr>
          <w:p w14:paraId="38030D65"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7 Years</w:t>
            </w:r>
          </w:p>
        </w:tc>
        <w:tc>
          <w:tcPr>
            <w:tcW w:w="573" w:type="pct"/>
            <w:vAlign w:val="center"/>
            <w:hideMark/>
          </w:tcPr>
          <w:p w14:paraId="6825A844"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Oxybutynin, Mirabegron</w:t>
            </w:r>
          </w:p>
        </w:tc>
        <w:tc>
          <w:tcPr>
            <w:tcW w:w="699" w:type="pct"/>
            <w:vAlign w:val="center"/>
            <w:hideMark/>
          </w:tcPr>
          <w:p w14:paraId="07B52AF9"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Incontinence &amp; Hydronephrosis</w:t>
            </w:r>
          </w:p>
        </w:tc>
        <w:tc>
          <w:tcPr>
            <w:tcW w:w="729" w:type="pct"/>
            <w:vAlign w:val="center"/>
          </w:tcPr>
          <w:p w14:paraId="0571C45A" w14:textId="3DBE14E1" w:rsidR="005526DD" w:rsidRPr="005526DD" w:rsidRDefault="005526DD" w:rsidP="005526DD">
            <w:pPr>
              <w:jc w:val="center"/>
              <w:rPr>
                <w:rFonts w:asciiTheme="majorBidi" w:hAnsiTheme="majorBidi" w:cstheme="majorBidi"/>
                <w:lang w:bidi="ar-EG"/>
              </w:rPr>
            </w:pPr>
            <w:r w:rsidRPr="005526DD">
              <w:rPr>
                <w:rFonts w:asciiTheme="majorBidi" w:hAnsiTheme="majorBidi" w:cstheme="majorBidi"/>
                <w:lang w:bidi="ar-EG"/>
              </w:rPr>
              <w:t>140 mL 155 mL</w:t>
            </w:r>
          </w:p>
        </w:tc>
        <w:tc>
          <w:tcPr>
            <w:tcW w:w="729" w:type="pct"/>
            <w:vAlign w:val="center"/>
            <w:hideMark/>
          </w:tcPr>
          <w:p w14:paraId="4C3E4602" w14:textId="23BC2F5D"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Non-Responder (Persistent Incontinence)</w:t>
            </w:r>
          </w:p>
        </w:tc>
        <w:tc>
          <w:tcPr>
            <w:tcW w:w="339" w:type="pct"/>
            <w:vAlign w:val="center"/>
            <w:hideMark/>
          </w:tcPr>
          <w:p w14:paraId="0C10935F"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25 mL</w:t>
            </w:r>
          </w:p>
        </w:tc>
        <w:tc>
          <w:tcPr>
            <w:tcW w:w="645" w:type="pct"/>
            <w:vAlign w:val="center"/>
            <w:hideMark/>
          </w:tcPr>
          <w:p w14:paraId="72F2526A" w14:textId="77777777" w:rsidR="005526DD" w:rsidRPr="007E7F88" w:rsidRDefault="005526DD" w:rsidP="007E7F88">
            <w:pPr>
              <w:jc w:val="center"/>
              <w:rPr>
                <w:rFonts w:asciiTheme="majorBidi" w:hAnsiTheme="majorBidi" w:cstheme="majorBidi"/>
                <w:lang w:bidi="ar-EG"/>
              </w:rPr>
            </w:pPr>
            <w:r w:rsidRPr="007E7F88">
              <w:rPr>
                <w:rFonts w:asciiTheme="majorBidi" w:hAnsiTheme="majorBidi" w:cstheme="majorBidi"/>
                <w:lang w:bidi="ar-EG"/>
              </w:rPr>
              <w:t>Minimal</w:t>
            </w:r>
          </w:p>
        </w:tc>
      </w:tr>
    </w:tbl>
    <w:p w14:paraId="351E7B9E" w14:textId="034787A1" w:rsidR="00514B08" w:rsidRPr="007E7F88" w:rsidRDefault="007E7F88" w:rsidP="007E7F88">
      <w:pPr>
        <w:rPr>
          <w:i/>
          <w:iCs/>
          <w:sz w:val="20"/>
          <w:szCs w:val="20"/>
          <w:rtl/>
          <w:lang w:bidi="ar-EG"/>
        </w:rPr>
      </w:pPr>
      <w:r w:rsidRPr="007E7F88">
        <w:rPr>
          <w:b/>
          <w:bCs/>
          <w:i/>
          <w:iCs/>
          <w:sz w:val="20"/>
          <w:szCs w:val="20"/>
          <w:lang w:bidi="ar-EG"/>
        </w:rPr>
        <w:t>BTX-A</w:t>
      </w:r>
      <w:r w:rsidRPr="007E7F88">
        <w:rPr>
          <w:i/>
          <w:iCs/>
          <w:sz w:val="20"/>
          <w:szCs w:val="20"/>
          <w:lang w:bidi="ar-EG"/>
        </w:rPr>
        <w:t xml:space="preserve">: OnabotulinumtoxinA; </w:t>
      </w:r>
      <w:r w:rsidRPr="007E7F88">
        <w:rPr>
          <w:b/>
          <w:bCs/>
          <w:i/>
          <w:iCs/>
          <w:sz w:val="20"/>
          <w:szCs w:val="20"/>
          <w:lang w:bidi="ar-EG"/>
        </w:rPr>
        <w:t>PVR</w:t>
      </w:r>
      <w:r w:rsidRPr="007E7F88">
        <w:rPr>
          <w:i/>
          <w:iCs/>
          <w:sz w:val="20"/>
          <w:szCs w:val="20"/>
          <w:lang w:bidi="ar-EG"/>
        </w:rPr>
        <w:t xml:space="preserve">: Post-Void Residual volume; </w:t>
      </w:r>
      <w:r w:rsidRPr="007E7F88">
        <w:rPr>
          <w:b/>
          <w:bCs/>
          <w:i/>
          <w:iCs/>
          <w:sz w:val="20"/>
          <w:szCs w:val="20"/>
          <w:lang w:bidi="ar-EG"/>
        </w:rPr>
        <w:t>QoL</w:t>
      </w:r>
      <w:r w:rsidRPr="007E7F88">
        <w:rPr>
          <w:i/>
          <w:iCs/>
          <w:sz w:val="20"/>
          <w:szCs w:val="20"/>
          <w:lang w:bidi="ar-EG"/>
        </w:rPr>
        <w:t>: Quality of Life.</w:t>
      </w:r>
    </w:p>
    <w:sectPr w:rsidR="00514B08" w:rsidRPr="007E7F88" w:rsidSect="007E7F88">
      <w:pgSz w:w="16839" w:h="11907" w:orient="landscape" w:code="167"/>
      <w:pgMar w:top="1800" w:right="1440" w:bottom="180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3FD2" w14:textId="77777777" w:rsidR="00023C53" w:rsidRDefault="00023C53">
      <w:pPr>
        <w:spacing w:after="0"/>
      </w:pPr>
      <w:r>
        <w:separator/>
      </w:r>
    </w:p>
  </w:endnote>
  <w:endnote w:type="continuationSeparator" w:id="0">
    <w:p w14:paraId="2E6EB5CE" w14:textId="77777777" w:rsidR="00023C53" w:rsidRDefault="00023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984B" w14:textId="77777777" w:rsidR="00B429EA" w:rsidRDefault="00DD1C75">
    <w:pPr>
      <w:tabs>
        <w:tab w:val="center" w:pos="4544"/>
      </w:tabs>
      <w:spacing w:after="0" w:line="259" w:lineRule="auto"/>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64C9" w14:textId="77777777" w:rsidR="00B429EA" w:rsidRDefault="00DD1C75">
    <w:pPr>
      <w:tabs>
        <w:tab w:val="center" w:pos="4544"/>
      </w:tabs>
      <w:spacing w:after="0" w:line="259" w:lineRule="auto"/>
      <w:jc w:val="left"/>
    </w:pPr>
    <w:r>
      <w:rPr>
        <w:sz w:val="20"/>
      </w:rPr>
      <w:t xml:space="preserve"> </w:t>
    </w:r>
    <w:r>
      <w:rPr>
        <w:sz w:val="20"/>
      </w:rPr>
      <w:tab/>
    </w:r>
    <w:r>
      <w:fldChar w:fldCharType="begin"/>
    </w:r>
    <w:r>
      <w:instrText xml:space="preserve"> PAGE   \* MERGEFORMAT </w:instrText>
    </w:r>
    <w:r>
      <w:fldChar w:fldCharType="separate"/>
    </w:r>
    <w:r w:rsidR="00652C5A" w:rsidRPr="00652C5A">
      <w:rPr>
        <w:rFonts w:ascii="Calibri" w:eastAsia="Calibri" w:hAnsi="Calibri" w:cs="Calibri"/>
        <w:noProof/>
        <w:sz w:val="22"/>
      </w:rPr>
      <w:t>16</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0113" w14:textId="77777777" w:rsidR="00B429EA" w:rsidRDefault="00DD1C75">
    <w:pPr>
      <w:tabs>
        <w:tab w:val="center" w:pos="4544"/>
      </w:tabs>
      <w:spacing w:after="0" w:line="259" w:lineRule="auto"/>
      <w:jc w:val="left"/>
    </w:pPr>
    <w:r>
      <w:rPr>
        <w:sz w:val="20"/>
      </w:rPr>
      <w:t xml:space="preserve"> </w:t>
    </w:r>
    <w:r>
      <w:rPr>
        <w:sz w:val="20"/>
      </w:rPr>
      <w:tab/>
    </w:r>
    <w:r>
      <w:fldChar w:fldCharType="begin"/>
    </w:r>
    <w:r>
      <w:instrText xml:space="preserve"> PAGE   \* MERGEFORMAT </w:instrText>
    </w:r>
    <w:r>
      <w:fldChar w:fldCharType="separate"/>
    </w:r>
    <w:r w:rsidR="00652C5A" w:rsidRPr="00652C5A">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3284" w14:textId="77777777" w:rsidR="00023C53" w:rsidRDefault="00023C53">
      <w:pPr>
        <w:spacing w:after="0"/>
      </w:pPr>
      <w:r>
        <w:separator/>
      </w:r>
    </w:p>
  </w:footnote>
  <w:footnote w:type="continuationSeparator" w:id="0">
    <w:p w14:paraId="3DAA5777" w14:textId="77777777" w:rsidR="00023C53" w:rsidRDefault="00023C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C486" w14:textId="77777777" w:rsidR="00B429EA" w:rsidRDefault="00B429EA">
    <w:pPr>
      <w:spacing w:after="160"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FF09" w14:textId="77777777" w:rsidR="00B429EA" w:rsidRDefault="00B429EA">
    <w:pPr>
      <w:spacing w:after="16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B551" w14:textId="77777777" w:rsidR="00B429EA" w:rsidRDefault="00B429EA">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187"/>
    <w:multiLevelType w:val="hybridMultilevel"/>
    <w:tmpl w:val="898A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6D81"/>
    <w:multiLevelType w:val="hybridMultilevel"/>
    <w:tmpl w:val="8A00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A35DC"/>
    <w:multiLevelType w:val="multilevel"/>
    <w:tmpl w:val="D37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5486D"/>
    <w:multiLevelType w:val="hybridMultilevel"/>
    <w:tmpl w:val="8332A904"/>
    <w:lvl w:ilvl="0" w:tplc="B2BEB598">
      <w:start w:val="1"/>
      <w:numFmt w:val="decimal"/>
      <w:lvlText w:val="%1."/>
      <w:lvlJc w:val="left"/>
      <w:pPr>
        <w:ind w:left="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856A86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F4D8D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705F0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50CD2A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50996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2AE50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9CC01A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B74743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D5343A"/>
    <w:multiLevelType w:val="hybridMultilevel"/>
    <w:tmpl w:val="BC4E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A7E"/>
    <w:multiLevelType w:val="hybridMultilevel"/>
    <w:tmpl w:val="6BE6B46E"/>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6" w15:restartNumberingAfterBreak="0">
    <w:nsid w:val="1DAA2C07"/>
    <w:multiLevelType w:val="hybridMultilevel"/>
    <w:tmpl w:val="6BC6F42E"/>
    <w:lvl w:ilvl="0" w:tplc="45263268">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4B7E6">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22B4E">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C3870">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EE710">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2CF62">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E10D4">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E5166">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4D942">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2E4968"/>
    <w:multiLevelType w:val="hybridMultilevel"/>
    <w:tmpl w:val="9DE4BA7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2EE42975"/>
    <w:multiLevelType w:val="hybridMultilevel"/>
    <w:tmpl w:val="56FC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F4050"/>
    <w:multiLevelType w:val="hybridMultilevel"/>
    <w:tmpl w:val="0288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D1431"/>
    <w:multiLevelType w:val="hybridMultilevel"/>
    <w:tmpl w:val="B5DA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03C41"/>
    <w:multiLevelType w:val="hybridMultilevel"/>
    <w:tmpl w:val="85F806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C7C69ED"/>
    <w:multiLevelType w:val="hybridMultilevel"/>
    <w:tmpl w:val="FF28669C"/>
    <w:lvl w:ilvl="0" w:tplc="04090009">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5157351C"/>
    <w:multiLevelType w:val="multilevel"/>
    <w:tmpl w:val="5D9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5D71"/>
    <w:multiLevelType w:val="hybridMultilevel"/>
    <w:tmpl w:val="18A0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4C07"/>
    <w:multiLevelType w:val="hybridMultilevel"/>
    <w:tmpl w:val="CC7686C4"/>
    <w:lvl w:ilvl="0" w:tplc="04090009">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58BC6981"/>
    <w:multiLevelType w:val="hybridMultilevel"/>
    <w:tmpl w:val="6AA6D8B4"/>
    <w:lvl w:ilvl="0" w:tplc="04090009">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6D0E0BCB"/>
    <w:multiLevelType w:val="hybridMultilevel"/>
    <w:tmpl w:val="59A6B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07058"/>
    <w:multiLevelType w:val="hybridMultilevel"/>
    <w:tmpl w:val="4776CAF2"/>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7A666A7D"/>
    <w:multiLevelType w:val="hybridMultilevel"/>
    <w:tmpl w:val="2988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150812">
    <w:abstractNumId w:val="6"/>
  </w:num>
  <w:num w:numId="2" w16cid:durableId="1023557495">
    <w:abstractNumId w:val="0"/>
  </w:num>
  <w:num w:numId="3" w16cid:durableId="1539125588">
    <w:abstractNumId w:val="5"/>
  </w:num>
  <w:num w:numId="4" w16cid:durableId="755056973">
    <w:abstractNumId w:val="18"/>
  </w:num>
  <w:num w:numId="5" w16cid:durableId="1810828177">
    <w:abstractNumId w:val="16"/>
  </w:num>
  <w:num w:numId="6" w16cid:durableId="724914159">
    <w:abstractNumId w:val="12"/>
  </w:num>
  <w:num w:numId="7" w16cid:durableId="1165122614">
    <w:abstractNumId w:val="15"/>
  </w:num>
  <w:num w:numId="8" w16cid:durableId="726492800">
    <w:abstractNumId w:val="3"/>
  </w:num>
  <w:num w:numId="9" w16cid:durableId="1933008738">
    <w:abstractNumId w:val="17"/>
  </w:num>
  <w:num w:numId="10" w16cid:durableId="1386443328">
    <w:abstractNumId w:val="13"/>
  </w:num>
  <w:num w:numId="11" w16cid:durableId="1503619387">
    <w:abstractNumId w:val="11"/>
  </w:num>
  <w:num w:numId="12" w16cid:durableId="297957691">
    <w:abstractNumId w:val="7"/>
  </w:num>
  <w:num w:numId="13" w16cid:durableId="209147181">
    <w:abstractNumId w:val="2"/>
  </w:num>
  <w:num w:numId="14" w16cid:durableId="1934900074">
    <w:abstractNumId w:val="4"/>
  </w:num>
  <w:num w:numId="15" w16cid:durableId="2052998952">
    <w:abstractNumId w:val="19"/>
  </w:num>
  <w:num w:numId="16" w16cid:durableId="1049644981">
    <w:abstractNumId w:val="1"/>
  </w:num>
  <w:num w:numId="17" w16cid:durableId="681861571">
    <w:abstractNumId w:val="14"/>
  </w:num>
  <w:num w:numId="18" w16cid:durableId="659890022">
    <w:abstractNumId w:val="10"/>
  </w:num>
  <w:num w:numId="19" w16cid:durableId="1540360710">
    <w:abstractNumId w:val="9"/>
  </w:num>
  <w:num w:numId="20" w16cid:durableId="864100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9EA"/>
    <w:rsid w:val="00015EF0"/>
    <w:rsid w:val="0001634E"/>
    <w:rsid w:val="00017FA8"/>
    <w:rsid w:val="00023C53"/>
    <w:rsid w:val="00037C0E"/>
    <w:rsid w:val="00037F4B"/>
    <w:rsid w:val="000439F6"/>
    <w:rsid w:val="00050E75"/>
    <w:rsid w:val="000522BF"/>
    <w:rsid w:val="00054C17"/>
    <w:rsid w:val="00054CF7"/>
    <w:rsid w:val="00054E6C"/>
    <w:rsid w:val="000566C5"/>
    <w:rsid w:val="00064FBC"/>
    <w:rsid w:val="00070B28"/>
    <w:rsid w:val="0007574C"/>
    <w:rsid w:val="000821FE"/>
    <w:rsid w:val="00083B90"/>
    <w:rsid w:val="00094718"/>
    <w:rsid w:val="00097712"/>
    <w:rsid w:val="000A51CB"/>
    <w:rsid w:val="000B1E96"/>
    <w:rsid w:val="000B364C"/>
    <w:rsid w:val="000C4DB6"/>
    <w:rsid w:val="000C5E5D"/>
    <w:rsid w:val="000C6B1D"/>
    <w:rsid w:val="000D0C4F"/>
    <w:rsid w:val="000D7421"/>
    <w:rsid w:val="000E00DA"/>
    <w:rsid w:val="000E3467"/>
    <w:rsid w:val="000E51DB"/>
    <w:rsid w:val="000E63CA"/>
    <w:rsid w:val="000F1375"/>
    <w:rsid w:val="000F67B9"/>
    <w:rsid w:val="00100B42"/>
    <w:rsid w:val="0010381C"/>
    <w:rsid w:val="00105E2F"/>
    <w:rsid w:val="00114340"/>
    <w:rsid w:val="0012145E"/>
    <w:rsid w:val="00121F0F"/>
    <w:rsid w:val="00131CB5"/>
    <w:rsid w:val="00132B45"/>
    <w:rsid w:val="00135FF7"/>
    <w:rsid w:val="00142A6E"/>
    <w:rsid w:val="00142EE1"/>
    <w:rsid w:val="0014647E"/>
    <w:rsid w:val="00147BA5"/>
    <w:rsid w:val="00176000"/>
    <w:rsid w:val="0019058E"/>
    <w:rsid w:val="00191062"/>
    <w:rsid w:val="00192D00"/>
    <w:rsid w:val="00196FEA"/>
    <w:rsid w:val="001A6C5E"/>
    <w:rsid w:val="001C4F1D"/>
    <w:rsid w:val="001D1564"/>
    <w:rsid w:val="001D5E70"/>
    <w:rsid w:val="001E35AF"/>
    <w:rsid w:val="001E37C5"/>
    <w:rsid w:val="001F223B"/>
    <w:rsid w:val="001F7D7A"/>
    <w:rsid w:val="002069D1"/>
    <w:rsid w:val="002215BB"/>
    <w:rsid w:val="002229CF"/>
    <w:rsid w:val="002318CD"/>
    <w:rsid w:val="002320A0"/>
    <w:rsid w:val="00236552"/>
    <w:rsid w:val="0024695C"/>
    <w:rsid w:val="002539AC"/>
    <w:rsid w:val="002565ED"/>
    <w:rsid w:val="00257F5E"/>
    <w:rsid w:val="002607ED"/>
    <w:rsid w:val="002706B3"/>
    <w:rsid w:val="002813CB"/>
    <w:rsid w:val="00284B1C"/>
    <w:rsid w:val="00290C84"/>
    <w:rsid w:val="0029641D"/>
    <w:rsid w:val="002A174B"/>
    <w:rsid w:val="002A1781"/>
    <w:rsid w:val="002A5BC7"/>
    <w:rsid w:val="002A7CC4"/>
    <w:rsid w:val="002B3D1C"/>
    <w:rsid w:val="002C2633"/>
    <w:rsid w:val="002C2DEE"/>
    <w:rsid w:val="002C750D"/>
    <w:rsid w:val="002D52B9"/>
    <w:rsid w:val="002E3B7E"/>
    <w:rsid w:val="002F0E40"/>
    <w:rsid w:val="002F22A5"/>
    <w:rsid w:val="002F4CA7"/>
    <w:rsid w:val="002F521C"/>
    <w:rsid w:val="002F7EB1"/>
    <w:rsid w:val="00300AE4"/>
    <w:rsid w:val="00306F1D"/>
    <w:rsid w:val="00314B88"/>
    <w:rsid w:val="00314E54"/>
    <w:rsid w:val="00327463"/>
    <w:rsid w:val="003507F5"/>
    <w:rsid w:val="00356845"/>
    <w:rsid w:val="00356BFB"/>
    <w:rsid w:val="00357432"/>
    <w:rsid w:val="00373FD6"/>
    <w:rsid w:val="003814CB"/>
    <w:rsid w:val="00381CE2"/>
    <w:rsid w:val="003841BF"/>
    <w:rsid w:val="00384548"/>
    <w:rsid w:val="003869E1"/>
    <w:rsid w:val="00390991"/>
    <w:rsid w:val="003929AF"/>
    <w:rsid w:val="003A6B2F"/>
    <w:rsid w:val="003B2346"/>
    <w:rsid w:val="003B6F79"/>
    <w:rsid w:val="003C238C"/>
    <w:rsid w:val="003C57E2"/>
    <w:rsid w:val="003D77BF"/>
    <w:rsid w:val="003E182D"/>
    <w:rsid w:val="003E4630"/>
    <w:rsid w:val="003F486C"/>
    <w:rsid w:val="00407A7B"/>
    <w:rsid w:val="004101A7"/>
    <w:rsid w:val="004161FA"/>
    <w:rsid w:val="00417044"/>
    <w:rsid w:val="004171B7"/>
    <w:rsid w:val="004210CE"/>
    <w:rsid w:val="00423F32"/>
    <w:rsid w:val="00432047"/>
    <w:rsid w:val="00444E5C"/>
    <w:rsid w:val="00446E41"/>
    <w:rsid w:val="00447398"/>
    <w:rsid w:val="00447985"/>
    <w:rsid w:val="00447C60"/>
    <w:rsid w:val="00450285"/>
    <w:rsid w:val="00455CCD"/>
    <w:rsid w:val="00471277"/>
    <w:rsid w:val="00480092"/>
    <w:rsid w:val="00482B56"/>
    <w:rsid w:val="00494BC9"/>
    <w:rsid w:val="004957DA"/>
    <w:rsid w:val="004A778F"/>
    <w:rsid w:val="004B23B3"/>
    <w:rsid w:val="004B5AFD"/>
    <w:rsid w:val="004B7240"/>
    <w:rsid w:val="004C77E9"/>
    <w:rsid w:val="004D0404"/>
    <w:rsid w:val="004D4A3A"/>
    <w:rsid w:val="004E2100"/>
    <w:rsid w:val="004E5A32"/>
    <w:rsid w:val="004F5B33"/>
    <w:rsid w:val="005049BD"/>
    <w:rsid w:val="00510B38"/>
    <w:rsid w:val="005122C4"/>
    <w:rsid w:val="00514B08"/>
    <w:rsid w:val="005169B3"/>
    <w:rsid w:val="00525C41"/>
    <w:rsid w:val="005354E3"/>
    <w:rsid w:val="005404D6"/>
    <w:rsid w:val="005434A8"/>
    <w:rsid w:val="005526DD"/>
    <w:rsid w:val="005624BD"/>
    <w:rsid w:val="00563F63"/>
    <w:rsid w:val="005653BE"/>
    <w:rsid w:val="005657A8"/>
    <w:rsid w:val="00566ED1"/>
    <w:rsid w:val="0058350B"/>
    <w:rsid w:val="00586A3E"/>
    <w:rsid w:val="005916B6"/>
    <w:rsid w:val="00592BFE"/>
    <w:rsid w:val="0059734B"/>
    <w:rsid w:val="005A167A"/>
    <w:rsid w:val="005A6147"/>
    <w:rsid w:val="005B5B68"/>
    <w:rsid w:val="005C1159"/>
    <w:rsid w:val="005D46D3"/>
    <w:rsid w:val="005D768B"/>
    <w:rsid w:val="005E0DFE"/>
    <w:rsid w:val="005F378B"/>
    <w:rsid w:val="005F5D2E"/>
    <w:rsid w:val="00604A0E"/>
    <w:rsid w:val="006067F2"/>
    <w:rsid w:val="00606A7D"/>
    <w:rsid w:val="006106E0"/>
    <w:rsid w:val="006223CF"/>
    <w:rsid w:val="006224A0"/>
    <w:rsid w:val="00630DA9"/>
    <w:rsid w:val="00633DF2"/>
    <w:rsid w:val="00640D78"/>
    <w:rsid w:val="00646909"/>
    <w:rsid w:val="00652C5A"/>
    <w:rsid w:val="00661277"/>
    <w:rsid w:val="0066347B"/>
    <w:rsid w:val="00664CD0"/>
    <w:rsid w:val="00673810"/>
    <w:rsid w:val="006748D0"/>
    <w:rsid w:val="00694582"/>
    <w:rsid w:val="00694EC1"/>
    <w:rsid w:val="00696A4B"/>
    <w:rsid w:val="006A3AB0"/>
    <w:rsid w:val="006A4ADF"/>
    <w:rsid w:val="006A6096"/>
    <w:rsid w:val="006A7504"/>
    <w:rsid w:val="006B4421"/>
    <w:rsid w:val="006B48E4"/>
    <w:rsid w:val="006B556E"/>
    <w:rsid w:val="006B75D4"/>
    <w:rsid w:val="006C6799"/>
    <w:rsid w:val="006D0B60"/>
    <w:rsid w:val="006D0D02"/>
    <w:rsid w:val="006D49CC"/>
    <w:rsid w:val="006D7B45"/>
    <w:rsid w:val="006F6822"/>
    <w:rsid w:val="007000D7"/>
    <w:rsid w:val="007030CE"/>
    <w:rsid w:val="00704B7E"/>
    <w:rsid w:val="007152B3"/>
    <w:rsid w:val="0071587B"/>
    <w:rsid w:val="00716927"/>
    <w:rsid w:val="00717441"/>
    <w:rsid w:val="00723BCC"/>
    <w:rsid w:val="00725AC6"/>
    <w:rsid w:val="007541CF"/>
    <w:rsid w:val="007547FD"/>
    <w:rsid w:val="007642D1"/>
    <w:rsid w:val="00765801"/>
    <w:rsid w:val="00766B92"/>
    <w:rsid w:val="00767EA3"/>
    <w:rsid w:val="007715A1"/>
    <w:rsid w:val="007741BA"/>
    <w:rsid w:val="0077443A"/>
    <w:rsid w:val="00777BB2"/>
    <w:rsid w:val="00783A52"/>
    <w:rsid w:val="00784BB0"/>
    <w:rsid w:val="00790689"/>
    <w:rsid w:val="00790F88"/>
    <w:rsid w:val="007A518F"/>
    <w:rsid w:val="007A7BB2"/>
    <w:rsid w:val="007B09C6"/>
    <w:rsid w:val="007B0F91"/>
    <w:rsid w:val="007C44FB"/>
    <w:rsid w:val="007C4B85"/>
    <w:rsid w:val="007C61B1"/>
    <w:rsid w:val="007D62C6"/>
    <w:rsid w:val="007D6ED7"/>
    <w:rsid w:val="007E089A"/>
    <w:rsid w:val="007E5C79"/>
    <w:rsid w:val="007E655D"/>
    <w:rsid w:val="007E7C52"/>
    <w:rsid w:val="007E7F88"/>
    <w:rsid w:val="007F0568"/>
    <w:rsid w:val="007F2AF6"/>
    <w:rsid w:val="008058CC"/>
    <w:rsid w:val="00807081"/>
    <w:rsid w:val="008123D4"/>
    <w:rsid w:val="0081632C"/>
    <w:rsid w:val="00833BFA"/>
    <w:rsid w:val="0085669C"/>
    <w:rsid w:val="0087172E"/>
    <w:rsid w:val="00874A14"/>
    <w:rsid w:val="008874CF"/>
    <w:rsid w:val="008A0EDC"/>
    <w:rsid w:val="008A1F55"/>
    <w:rsid w:val="008B061F"/>
    <w:rsid w:val="008B248D"/>
    <w:rsid w:val="008B582D"/>
    <w:rsid w:val="008C2A0B"/>
    <w:rsid w:val="008C4E4E"/>
    <w:rsid w:val="008C5954"/>
    <w:rsid w:val="008D2979"/>
    <w:rsid w:val="008D34A9"/>
    <w:rsid w:val="008D6BA9"/>
    <w:rsid w:val="008E1540"/>
    <w:rsid w:val="008E7DCC"/>
    <w:rsid w:val="008E7DFB"/>
    <w:rsid w:val="008F0940"/>
    <w:rsid w:val="008F3360"/>
    <w:rsid w:val="009024DB"/>
    <w:rsid w:val="009029CE"/>
    <w:rsid w:val="00902F12"/>
    <w:rsid w:val="00904AED"/>
    <w:rsid w:val="009065F4"/>
    <w:rsid w:val="009141E5"/>
    <w:rsid w:val="0091678D"/>
    <w:rsid w:val="0092173F"/>
    <w:rsid w:val="00923583"/>
    <w:rsid w:val="009240A0"/>
    <w:rsid w:val="009267CF"/>
    <w:rsid w:val="009269BA"/>
    <w:rsid w:val="00943FAB"/>
    <w:rsid w:val="00944294"/>
    <w:rsid w:val="00945A8D"/>
    <w:rsid w:val="00953956"/>
    <w:rsid w:val="009603ED"/>
    <w:rsid w:val="009623EE"/>
    <w:rsid w:val="00971079"/>
    <w:rsid w:val="00971517"/>
    <w:rsid w:val="00975BE9"/>
    <w:rsid w:val="0099340C"/>
    <w:rsid w:val="00993D95"/>
    <w:rsid w:val="00995FB8"/>
    <w:rsid w:val="00996CBC"/>
    <w:rsid w:val="0099775E"/>
    <w:rsid w:val="009A1D0D"/>
    <w:rsid w:val="009A3EEC"/>
    <w:rsid w:val="009A4A32"/>
    <w:rsid w:val="009A67EF"/>
    <w:rsid w:val="009B1809"/>
    <w:rsid w:val="009B5706"/>
    <w:rsid w:val="009B7FF2"/>
    <w:rsid w:val="009C79FE"/>
    <w:rsid w:val="009D523C"/>
    <w:rsid w:val="009D6430"/>
    <w:rsid w:val="009F1568"/>
    <w:rsid w:val="009F1ED5"/>
    <w:rsid w:val="00A13D50"/>
    <w:rsid w:val="00A16BE1"/>
    <w:rsid w:val="00A22E12"/>
    <w:rsid w:val="00A251BF"/>
    <w:rsid w:val="00A26EE6"/>
    <w:rsid w:val="00A35F43"/>
    <w:rsid w:val="00A406F4"/>
    <w:rsid w:val="00A414A3"/>
    <w:rsid w:val="00A418B9"/>
    <w:rsid w:val="00A43147"/>
    <w:rsid w:val="00A50B54"/>
    <w:rsid w:val="00A54098"/>
    <w:rsid w:val="00A56B7C"/>
    <w:rsid w:val="00A711CC"/>
    <w:rsid w:val="00A84D8E"/>
    <w:rsid w:val="00A90893"/>
    <w:rsid w:val="00A91345"/>
    <w:rsid w:val="00A91912"/>
    <w:rsid w:val="00AA4943"/>
    <w:rsid w:val="00AB3EEB"/>
    <w:rsid w:val="00AB5D9B"/>
    <w:rsid w:val="00AC6AC6"/>
    <w:rsid w:val="00AC7336"/>
    <w:rsid w:val="00AE1846"/>
    <w:rsid w:val="00AE2DBE"/>
    <w:rsid w:val="00AF0883"/>
    <w:rsid w:val="00AF1C79"/>
    <w:rsid w:val="00AF6A83"/>
    <w:rsid w:val="00B015C2"/>
    <w:rsid w:val="00B06EF9"/>
    <w:rsid w:val="00B13CB6"/>
    <w:rsid w:val="00B15BA4"/>
    <w:rsid w:val="00B23EEB"/>
    <w:rsid w:val="00B25CB4"/>
    <w:rsid w:val="00B27008"/>
    <w:rsid w:val="00B429EA"/>
    <w:rsid w:val="00B53278"/>
    <w:rsid w:val="00B576F6"/>
    <w:rsid w:val="00B66D80"/>
    <w:rsid w:val="00B73FB5"/>
    <w:rsid w:val="00B773F0"/>
    <w:rsid w:val="00B959B9"/>
    <w:rsid w:val="00B966DA"/>
    <w:rsid w:val="00BA5453"/>
    <w:rsid w:val="00BA5A89"/>
    <w:rsid w:val="00BB000D"/>
    <w:rsid w:val="00BB1711"/>
    <w:rsid w:val="00BD4BEB"/>
    <w:rsid w:val="00BE0C08"/>
    <w:rsid w:val="00BE28D2"/>
    <w:rsid w:val="00BE33C7"/>
    <w:rsid w:val="00BF2BE2"/>
    <w:rsid w:val="00C01848"/>
    <w:rsid w:val="00C03AC3"/>
    <w:rsid w:val="00C05CD3"/>
    <w:rsid w:val="00C15EF5"/>
    <w:rsid w:val="00C276A4"/>
    <w:rsid w:val="00C3117D"/>
    <w:rsid w:val="00C36626"/>
    <w:rsid w:val="00C42710"/>
    <w:rsid w:val="00C44390"/>
    <w:rsid w:val="00C4482B"/>
    <w:rsid w:val="00C54092"/>
    <w:rsid w:val="00C61532"/>
    <w:rsid w:val="00C624D2"/>
    <w:rsid w:val="00C72208"/>
    <w:rsid w:val="00C7729B"/>
    <w:rsid w:val="00C81915"/>
    <w:rsid w:val="00C840B5"/>
    <w:rsid w:val="00C858EE"/>
    <w:rsid w:val="00C85B4B"/>
    <w:rsid w:val="00C87B17"/>
    <w:rsid w:val="00C87D91"/>
    <w:rsid w:val="00C9053B"/>
    <w:rsid w:val="00CA1DCB"/>
    <w:rsid w:val="00CA31D6"/>
    <w:rsid w:val="00CA7F4C"/>
    <w:rsid w:val="00CB43FC"/>
    <w:rsid w:val="00CB4A2A"/>
    <w:rsid w:val="00CB54C2"/>
    <w:rsid w:val="00CB724E"/>
    <w:rsid w:val="00CC0319"/>
    <w:rsid w:val="00CC52D4"/>
    <w:rsid w:val="00CD6F6B"/>
    <w:rsid w:val="00CE1479"/>
    <w:rsid w:val="00CE5514"/>
    <w:rsid w:val="00CE65CE"/>
    <w:rsid w:val="00CE6CEF"/>
    <w:rsid w:val="00CF2B35"/>
    <w:rsid w:val="00D05AF5"/>
    <w:rsid w:val="00D14CA9"/>
    <w:rsid w:val="00D16B1D"/>
    <w:rsid w:val="00D401AE"/>
    <w:rsid w:val="00D44A1E"/>
    <w:rsid w:val="00D47033"/>
    <w:rsid w:val="00D47276"/>
    <w:rsid w:val="00D50B59"/>
    <w:rsid w:val="00D54943"/>
    <w:rsid w:val="00D565D1"/>
    <w:rsid w:val="00D57BCB"/>
    <w:rsid w:val="00D60DC1"/>
    <w:rsid w:val="00D628F4"/>
    <w:rsid w:val="00D63D61"/>
    <w:rsid w:val="00D77C97"/>
    <w:rsid w:val="00D81848"/>
    <w:rsid w:val="00D83418"/>
    <w:rsid w:val="00D84958"/>
    <w:rsid w:val="00D9367C"/>
    <w:rsid w:val="00D950AF"/>
    <w:rsid w:val="00D97C93"/>
    <w:rsid w:val="00DB518E"/>
    <w:rsid w:val="00DB7A26"/>
    <w:rsid w:val="00DC11CA"/>
    <w:rsid w:val="00DC34C5"/>
    <w:rsid w:val="00DD0EA6"/>
    <w:rsid w:val="00DD1C75"/>
    <w:rsid w:val="00DD2C7E"/>
    <w:rsid w:val="00DD4C47"/>
    <w:rsid w:val="00DD5210"/>
    <w:rsid w:val="00DD5493"/>
    <w:rsid w:val="00DE23E5"/>
    <w:rsid w:val="00DE25BD"/>
    <w:rsid w:val="00DF5B54"/>
    <w:rsid w:val="00E04C58"/>
    <w:rsid w:val="00E116C6"/>
    <w:rsid w:val="00E15856"/>
    <w:rsid w:val="00E23E39"/>
    <w:rsid w:val="00E24373"/>
    <w:rsid w:val="00E2642B"/>
    <w:rsid w:val="00E312B5"/>
    <w:rsid w:val="00E35011"/>
    <w:rsid w:val="00E3695E"/>
    <w:rsid w:val="00E4247B"/>
    <w:rsid w:val="00E42754"/>
    <w:rsid w:val="00E5305C"/>
    <w:rsid w:val="00E54BE9"/>
    <w:rsid w:val="00E60977"/>
    <w:rsid w:val="00E60E78"/>
    <w:rsid w:val="00E615BF"/>
    <w:rsid w:val="00E65EC1"/>
    <w:rsid w:val="00E736E4"/>
    <w:rsid w:val="00E76864"/>
    <w:rsid w:val="00EA2937"/>
    <w:rsid w:val="00EA5582"/>
    <w:rsid w:val="00EA5EA7"/>
    <w:rsid w:val="00EA66E3"/>
    <w:rsid w:val="00EB0FEB"/>
    <w:rsid w:val="00EC0AAA"/>
    <w:rsid w:val="00EC14BF"/>
    <w:rsid w:val="00EC37F8"/>
    <w:rsid w:val="00ED7AAD"/>
    <w:rsid w:val="00EF3310"/>
    <w:rsid w:val="00EF4696"/>
    <w:rsid w:val="00EF4B8C"/>
    <w:rsid w:val="00EF51D4"/>
    <w:rsid w:val="00EF578A"/>
    <w:rsid w:val="00F0173A"/>
    <w:rsid w:val="00F068D9"/>
    <w:rsid w:val="00F11EB5"/>
    <w:rsid w:val="00F12350"/>
    <w:rsid w:val="00F13858"/>
    <w:rsid w:val="00F15934"/>
    <w:rsid w:val="00F247AD"/>
    <w:rsid w:val="00F31556"/>
    <w:rsid w:val="00F3384B"/>
    <w:rsid w:val="00F342E4"/>
    <w:rsid w:val="00F344C8"/>
    <w:rsid w:val="00F35275"/>
    <w:rsid w:val="00F364F2"/>
    <w:rsid w:val="00F44953"/>
    <w:rsid w:val="00F4593D"/>
    <w:rsid w:val="00F53051"/>
    <w:rsid w:val="00F62660"/>
    <w:rsid w:val="00F62E0E"/>
    <w:rsid w:val="00F704C9"/>
    <w:rsid w:val="00F70A55"/>
    <w:rsid w:val="00F73605"/>
    <w:rsid w:val="00F80817"/>
    <w:rsid w:val="00F8343E"/>
    <w:rsid w:val="00F845CB"/>
    <w:rsid w:val="00F84857"/>
    <w:rsid w:val="00F84C6C"/>
    <w:rsid w:val="00F86D45"/>
    <w:rsid w:val="00F8767E"/>
    <w:rsid w:val="00F90B78"/>
    <w:rsid w:val="00F95268"/>
    <w:rsid w:val="00F95874"/>
    <w:rsid w:val="00F97E0D"/>
    <w:rsid w:val="00FA1888"/>
    <w:rsid w:val="00FA5E1F"/>
    <w:rsid w:val="00FC3B63"/>
    <w:rsid w:val="00FC625A"/>
    <w:rsid w:val="00FD2EF4"/>
    <w:rsid w:val="00FE33FE"/>
    <w:rsid w:val="00FE565E"/>
    <w:rsid w:val="00FF1F02"/>
    <w:rsid w:val="00FF2194"/>
    <w:rsid w:val="00FF288D"/>
    <w:rsid w:val="00FF3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FEB3"/>
  <w15:docId w15:val="{308C5A9D-F280-4743-B42E-A75524B0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2E"/>
    <w:pPr>
      <w:spacing w:after="120" w:line="240" w:lineRule="auto"/>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3" w:line="259" w:lineRule="auto"/>
      <w:ind w:left="221"/>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 w:line="259" w:lineRule="auto"/>
      <w:ind w:left="231"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3" w:line="259" w:lineRule="auto"/>
      <w:ind w:left="229" w:hanging="10"/>
      <w:jc w:val="center"/>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CB4A2A"/>
    <w:pPr>
      <w:tabs>
        <w:tab w:val="center" w:pos="4513"/>
        <w:tab w:val="right" w:pos="9026"/>
      </w:tabs>
      <w:spacing w:after="0"/>
    </w:pPr>
  </w:style>
  <w:style w:type="character" w:customStyle="1" w:styleId="HeaderChar">
    <w:name w:val="Header Char"/>
    <w:basedOn w:val="DefaultParagraphFont"/>
    <w:link w:val="Header"/>
    <w:uiPriority w:val="99"/>
    <w:semiHidden/>
    <w:rsid w:val="00CB4A2A"/>
    <w:rPr>
      <w:rFonts w:ascii="Times New Roman" w:eastAsia="Times New Roman" w:hAnsi="Times New Roman" w:cs="Times New Roman"/>
      <w:color w:val="000000"/>
    </w:rPr>
  </w:style>
  <w:style w:type="table" w:styleId="TableGrid0">
    <w:name w:val="Table Grid"/>
    <w:basedOn w:val="TableNormal"/>
    <w:uiPriority w:val="39"/>
    <w:rsid w:val="00CB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C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C5A"/>
    <w:rPr>
      <w:rFonts w:ascii="Tahoma" w:eastAsia="Times New Roman" w:hAnsi="Tahoma" w:cs="Tahoma"/>
      <w:color w:val="000000"/>
      <w:sz w:val="16"/>
      <w:szCs w:val="16"/>
    </w:rPr>
  </w:style>
  <w:style w:type="paragraph" w:styleId="ListParagraph">
    <w:name w:val="List Paragraph"/>
    <w:basedOn w:val="Normal"/>
    <w:uiPriority w:val="34"/>
    <w:qFormat/>
    <w:rsid w:val="009A3EEC"/>
    <w:pPr>
      <w:ind w:left="720"/>
      <w:contextualSpacing/>
    </w:pPr>
  </w:style>
  <w:style w:type="paragraph" w:styleId="Bibliography">
    <w:name w:val="Bibliography"/>
    <w:basedOn w:val="Normal"/>
    <w:next w:val="Normal"/>
    <w:uiPriority w:val="37"/>
    <w:unhideWhenUsed/>
    <w:rsid w:val="00407A7B"/>
    <w:pPr>
      <w:tabs>
        <w:tab w:val="left" w:pos="384"/>
      </w:tabs>
      <w:spacing w:after="240"/>
      <w:ind w:left="384" w:hanging="384"/>
    </w:pPr>
  </w:style>
  <w:style w:type="paragraph" w:styleId="NormalWeb">
    <w:name w:val="Normal (Web)"/>
    <w:basedOn w:val="Normal"/>
    <w:uiPriority w:val="99"/>
    <w:semiHidden/>
    <w:unhideWhenUsed/>
    <w:rsid w:val="002D52B9"/>
  </w:style>
  <w:style w:type="table" w:styleId="PlainTable2">
    <w:name w:val="Plain Table 2"/>
    <w:basedOn w:val="TableNormal"/>
    <w:uiPriority w:val="42"/>
    <w:rsid w:val="000B1E96"/>
    <w:pPr>
      <w:spacing w:after="0" w:line="240" w:lineRule="auto"/>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90893"/>
    <w:pPr>
      <w:spacing w:after="0" w:line="240" w:lineRule="auto"/>
    </w:pPr>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22C4"/>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ation-142">
    <w:name w:val="citation-142"/>
    <w:basedOn w:val="DefaultParagraphFont"/>
    <w:rsid w:val="0024695C"/>
  </w:style>
  <w:style w:type="character" w:customStyle="1" w:styleId="citation-141">
    <w:name w:val="citation-141"/>
    <w:basedOn w:val="DefaultParagraphFont"/>
    <w:rsid w:val="0024695C"/>
  </w:style>
  <w:style w:type="character" w:customStyle="1" w:styleId="citation-140">
    <w:name w:val="citation-140"/>
    <w:basedOn w:val="DefaultParagraphFont"/>
    <w:rsid w:val="0024695C"/>
  </w:style>
  <w:style w:type="character" w:styleId="Hyperlink">
    <w:name w:val="Hyperlink"/>
    <w:basedOn w:val="DefaultParagraphFont"/>
    <w:uiPriority w:val="99"/>
    <w:unhideWhenUsed/>
    <w:rsid w:val="00257F5E"/>
    <w:rPr>
      <w:color w:val="467886" w:themeColor="hyperlink"/>
      <w:u w:val="single"/>
    </w:rPr>
  </w:style>
  <w:style w:type="character" w:styleId="UnresolvedMention">
    <w:name w:val="Unresolved Mention"/>
    <w:basedOn w:val="DefaultParagraphFont"/>
    <w:uiPriority w:val="99"/>
    <w:semiHidden/>
    <w:unhideWhenUsed/>
    <w:rsid w:val="0025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6254">
      <w:bodyDiv w:val="1"/>
      <w:marLeft w:val="0"/>
      <w:marRight w:val="0"/>
      <w:marTop w:val="0"/>
      <w:marBottom w:val="0"/>
      <w:divBdr>
        <w:top w:val="none" w:sz="0" w:space="0" w:color="auto"/>
        <w:left w:val="none" w:sz="0" w:space="0" w:color="auto"/>
        <w:bottom w:val="none" w:sz="0" w:space="0" w:color="auto"/>
        <w:right w:val="none" w:sz="0" w:space="0" w:color="auto"/>
      </w:divBdr>
      <w:divsChild>
        <w:div w:id="2000575014">
          <w:marLeft w:val="0"/>
          <w:marRight w:val="0"/>
          <w:marTop w:val="0"/>
          <w:marBottom w:val="0"/>
          <w:divBdr>
            <w:top w:val="none" w:sz="0" w:space="0" w:color="auto"/>
            <w:left w:val="none" w:sz="0" w:space="0" w:color="auto"/>
            <w:bottom w:val="none" w:sz="0" w:space="0" w:color="auto"/>
            <w:right w:val="none" w:sz="0" w:space="0" w:color="auto"/>
          </w:divBdr>
          <w:divsChild>
            <w:div w:id="1758744468">
              <w:marLeft w:val="0"/>
              <w:marRight w:val="0"/>
              <w:marTop w:val="0"/>
              <w:marBottom w:val="0"/>
              <w:divBdr>
                <w:top w:val="none" w:sz="0" w:space="0" w:color="auto"/>
                <w:left w:val="none" w:sz="0" w:space="0" w:color="auto"/>
                <w:bottom w:val="none" w:sz="0" w:space="0" w:color="auto"/>
                <w:right w:val="none" w:sz="0" w:space="0" w:color="auto"/>
              </w:divBdr>
              <w:divsChild>
                <w:div w:id="1717584853">
                  <w:marLeft w:val="0"/>
                  <w:marRight w:val="0"/>
                  <w:marTop w:val="0"/>
                  <w:marBottom w:val="0"/>
                  <w:divBdr>
                    <w:top w:val="none" w:sz="0" w:space="0" w:color="auto"/>
                    <w:left w:val="none" w:sz="0" w:space="0" w:color="auto"/>
                    <w:bottom w:val="none" w:sz="0" w:space="0" w:color="auto"/>
                    <w:right w:val="none" w:sz="0" w:space="0" w:color="auto"/>
                  </w:divBdr>
                  <w:divsChild>
                    <w:div w:id="763306706">
                      <w:marLeft w:val="0"/>
                      <w:marRight w:val="0"/>
                      <w:marTop w:val="0"/>
                      <w:marBottom w:val="0"/>
                      <w:divBdr>
                        <w:top w:val="none" w:sz="0" w:space="0" w:color="auto"/>
                        <w:left w:val="none" w:sz="0" w:space="0" w:color="auto"/>
                        <w:bottom w:val="none" w:sz="0" w:space="0" w:color="auto"/>
                        <w:right w:val="none" w:sz="0" w:space="0" w:color="auto"/>
                      </w:divBdr>
                      <w:divsChild>
                        <w:div w:id="986712331">
                          <w:marLeft w:val="0"/>
                          <w:marRight w:val="0"/>
                          <w:marTop w:val="0"/>
                          <w:marBottom w:val="0"/>
                          <w:divBdr>
                            <w:top w:val="none" w:sz="0" w:space="0" w:color="auto"/>
                            <w:left w:val="none" w:sz="0" w:space="0" w:color="auto"/>
                            <w:bottom w:val="none" w:sz="0" w:space="0" w:color="auto"/>
                            <w:right w:val="none" w:sz="0" w:space="0" w:color="auto"/>
                          </w:divBdr>
                          <w:divsChild>
                            <w:div w:id="1698386137">
                              <w:marLeft w:val="0"/>
                              <w:marRight w:val="0"/>
                              <w:marTop w:val="0"/>
                              <w:marBottom w:val="0"/>
                              <w:divBdr>
                                <w:top w:val="none" w:sz="0" w:space="0" w:color="auto"/>
                                <w:left w:val="none" w:sz="0" w:space="0" w:color="auto"/>
                                <w:bottom w:val="none" w:sz="0" w:space="0" w:color="auto"/>
                                <w:right w:val="none" w:sz="0" w:space="0" w:color="auto"/>
                              </w:divBdr>
                              <w:divsChild>
                                <w:div w:id="2029064679">
                                  <w:marLeft w:val="0"/>
                                  <w:marRight w:val="0"/>
                                  <w:marTop w:val="0"/>
                                  <w:marBottom w:val="0"/>
                                  <w:divBdr>
                                    <w:top w:val="none" w:sz="0" w:space="0" w:color="auto"/>
                                    <w:left w:val="none" w:sz="0" w:space="0" w:color="auto"/>
                                    <w:bottom w:val="none" w:sz="0" w:space="0" w:color="auto"/>
                                    <w:right w:val="none" w:sz="0" w:space="0" w:color="auto"/>
                                  </w:divBdr>
                                  <w:divsChild>
                                    <w:div w:id="8517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0395">
                          <w:marLeft w:val="0"/>
                          <w:marRight w:val="0"/>
                          <w:marTop w:val="0"/>
                          <w:marBottom w:val="0"/>
                          <w:divBdr>
                            <w:top w:val="none" w:sz="0" w:space="0" w:color="auto"/>
                            <w:left w:val="none" w:sz="0" w:space="0" w:color="auto"/>
                            <w:bottom w:val="none" w:sz="0" w:space="0" w:color="auto"/>
                            <w:right w:val="none" w:sz="0" w:space="0" w:color="auto"/>
                          </w:divBdr>
                          <w:divsChild>
                            <w:div w:id="837428370">
                              <w:marLeft w:val="0"/>
                              <w:marRight w:val="0"/>
                              <w:marTop w:val="0"/>
                              <w:marBottom w:val="0"/>
                              <w:divBdr>
                                <w:top w:val="none" w:sz="0" w:space="0" w:color="auto"/>
                                <w:left w:val="none" w:sz="0" w:space="0" w:color="auto"/>
                                <w:bottom w:val="none" w:sz="0" w:space="0" w:color="auto"/>
                                <w:right w:val="none" w:sz="0" w:space="0" w:color="auto"/>
                              </w:divBdr>
                              <w:divsChild>
                                <w:div w:id="18299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546950">
      <w:bodyDiv w:val="1"/>
      <w:marLeft w:val="0"/>
      <w:marRight w:val="0"/>
      <w:marTop w:val="0"/>
      <w:marBottom w:val="0"/>
      <w:divBdr>
        <w:top w:val="none" w:sz="0" w:space="0" w:color="auto"/>
        <w:left w:val="none" w:sz="0" w:space="0" w:color="auto"/>
        <w:bottom w:val="none" w:sz="0" w:space="0" w:color="auto"/>
        <w:right w:val="none" w:sz="0" w:space="0" w:color="auto"/>
      </w:divBdr>
    </w:div>
    <w:div w:id="560407436">
      <w:bodyDiv w:val="1"/>
      <w:marLeft w:val="0"/>
      <w:marRight w:val="0"/>
      <w:marTop w:val="0"/>
      <w:marBottom w:val="0"/>
      <w:divBdr>
        <w:top w:val="none" w:sz="0" w:space="0" w:color="auto"/>
        <w:left w:val="none" w:sz="0" w:space="0" w:color="auto"/>
        <w:bottom w:val="none" w:sz="0" w:space="0" w:color="auto"/>
        <w:right w:val="none" w:sz="0" w:space="0" w:color="auto"/>
      </w:divBdr>
    </w:div>
    <w:div w:id="701513431">
      <w:bodyDiv w:val="1"/>
      <w:marLeft w:val="0"/>
      <w:marRight w:val="0"/>
      <w:marTop w:val="0"/>
      <w:marBottom w:val="0"/>
      <w:divBdr>
        <w:top w:val="none" w:sz="0" w:space="0" w:color="auto"/>
        <w:left w:val="none" w:sz="0" w:space="0" w:color="auto"/>
        <w:bottom w:val="none" w:sz="0" w:space="0" w:color="auto"/>
        <w:right w:val="none" w:sz="0" w:space="0" w:color="auto"/>
      </w:divBdr>
    </w:div>
    <w:div w:id="1099373170">
      <w:bodyDiv w:val="1"/>
      <w:marLeft w:val="0"/>
      <w:marRight w:val="0"/>
      <w:marTop w:val="0"/>
      <w:marBottom w:val="0"/>
      <w:divBdr>
        <w:top w:val="none" w:sz="0" w:space="0" w:color="auto"/>
        <w:left w:val="none" w:sz="0" w:space="0" w:color="auto"/>
        <w:bottom w:val="none" w:sz="0" w:space="0" w:color="auto"/>
        <w:right w:val="none" w:sz="0" w:space="0" w:color="auto"/>
      </w:divBdr>
      <w:divsChild>
        <w:div w:id="816021">
          <w:marLeft w:val="0"/>
          <w:marRight w:val="0"/>
          <w:marTop w:val="0"/>
          <w:marBottom w:val="0"/>
          <w:divBdr>
            <w:top w:val="none" w:sz="0" w:space="0" w:color="auto"/>
            <w:left w:val="none" w:sz="0" w:space="0" w:color="auto"/>
            <w:bottom w:val="none" w:sz="0" w:space="0" w:color="auto"/>
            <w:right w:val="none" w:sz="0" w:space="0" w:color="auto"/>
          </w:divBdr>
          <w:divsChild>
            <w:div w:id="602957504">
              <w:marLeft w:val="0"/>
              <w:marRight w:val="0"/>
              <w:marTop w:val="0"/>
              <w:marBottom w:val="0"/>
              <w:divBdr>
                <w:top w:val="none" w:sz="0" w:space="0" w:color="auto"/>
                <w:left w:val="none" w:sz="0" w:space="0" w:color="auto"/>
                <w:bottom w:val="none" w:sz="0" w:space="0" w:color="auto"/>
                <w:right w:val="none" w:sz="0" w:space="0" w:color="auto"/>
              </w:divBdr>
              <w:divsChild>
                <w:div w:id="1210990741">
                  <w:marLeft w:val="0"/>
                  <w:marRight w:val="0"/>
                  <w:marTop w:val="0"/>
                  <w:marBottom w:val="0"/>
                  <w:divBdr>
                    <w:top w:val="none" w:sz="0" w:space="0" w:color="auto"/>
                    <w:left w:val="none" w:sz="0" w:space="0" w:color="auto"/>
                    <w:bottom w:val="none" w:sz="0" w:space="0" w:color="auto"/>
                    <w:right w:val="none" w:sz="0" w:space="0" w:color="auto"/>
                  </w:divBdr>
                  <w:divsChild>
                    <w:div w:id="1482120163">
                      <w:marLeft w:val="0"/>
                      <w:marRight w:val="0"/>
                      <w:marTop w:val="0"/>
                      <w:marBottom w:val="0"/>
                      <w:divBdr>
                        <w:top w:val="none" w:sz="0" w:space="0" w:color="auto"/>
                        <w:left w:val="none" w:sz="0" w:space="0" w:color="auto"/>
                        <w:bottom w:val="none" w:sz="0" w:space="0" w:color="auto"/>
                        <w:right w:val="none" w:sz="0" w:space="0" w:color="auto"/>
                      </w:divBdr>
                      <w:divsChild>
                        <w:div w:id="743650127">
                          <w:marLeft w:val="0"/>
                          <w:marRight w:val="0"/>
                          <w:marTop w:val="0"/>
                          <w:marBottom w:val="0"/>
                          <w:divBdr>
                            <w:top w:val="none" w:sz="0" w:space="0" w:color="auto"/>
                            <w:left w:val="none" w:sz="0" w:space="0" w:color="auto"/>
                            <w:bottom w:val="none" w:sz="0" w:space="0" w:color="auto"/>
                            <w:right w:val="none" w:sz="0" w:space="0" w:color="auto"/>
                          </w:divBdr>
                          <w:divsChild>
                            <w:div w:id="743113839">
                              <w:marLeft w:val="0"/>
                              <w:marRight w:val="0"/>
                              <w:marTop w:val="0"/>
                              <w:marBottom w:val="0"/>
                              <w:divBdr>
                                <w:top w:val="none" w:sz="0" w:space="0" w:color="auto"/>
                                <w:left w:val="none" w:sz="0" w:space="0" w:color="auto"/>
                                <w:bottom w:val="none" w:sz="0" w:space="0" w:color="auto"/>
                                <w:right w:val="none" w:sz="0" w:space="0" w:color="auto"/>
                              </w:divBdr>
                              <w:divsChild>
                                <w:div w:id="912280299">
                                  <w:marLeft w:val="0"/>
                                  <w:marRight w:val="0"/>
                                  <w:marTop w:val="0"/>
                                  <w:marBottom w:val="0"/>
                                  <w:divBdr>
                                    <w:top w:val="none" w:sz="0" w:space="0" w:color="auto"/>
                                    <w:left w:val="none" w:sz="0" w:space="0" w:color="auto"/>
                                    <w:bottom w:val="none" w:sz="0" w:space="0" w:color="auto"/>
                                    <w:right w:val="none" w:sz="0" w:space="0" w:color="auto"/>
                                  </w:divBdr>
                                  <w:divsChild>
                                    <w:div w:id="19123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20723">
                          <w:marLeft w:val="0"/>
                          <w:marRight w:val="0"/>
                          <w:marTop w:val="0"/>
                          <w:marBottom w:val="0"/>
                          <w:divBdr>
                            <w:top w:val="none" w:sz="0" w:space="0" w:color="auto"/>
                            <w:left w:val="none" w:sz="0" w:space="0" w:color="auto"/>
                            <w:bottom w:val="none" w:sz="0" w:space="0" w:color="auto"/>
                            <w:right w:val="none" w:sz="0" w:space="0" w:color="auto"/>
                          </w:divBdr>
                          <w:divsChild>
                            <w:div w:id="715927954">
                              <w:marLeft w:val="0"/>
                              <w:marRight w:val="0"/>
                              <w:marTop w:val="0"/>
                              <w:marBottom w:val="0"/>
                              <w:divBdr>
                                <w:top w:val="none" w:sz="0" w:space="0" w:color="auto"/>
                                <w:left w:val="none" w:sz="0" w:space="0" w:color="auto"/>
                                <w:bottom w:val="none" w:sz="0" w:space="0" w:color="auto"/>
                                <w:right w:val="none" w:sz="0" w:space="0" w:color="auto"/>
                              </w:divBdr>
                              <w:divsChild>
                                <w:div w:id="1842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45472">
      <w:bodyDiv w:val="1"/>
      <w:marLeft w:val="0"/>
      <w:marRight w:val="0"/>
      <w:marTop w:val="0"/>
      <w:marBottom w:val="0"/>
      <w:divBdr>
        <w:top w:val="none" w:sz="0" w:space="0" w:color="auto"/>
        <w:left w:val="none" w:sz="0" w:space="0" w:color="auto"/>
        <w:bottom w:val="none" w:sz="0" w:space="0" w:color="auto"/>
        <w:right w:val="none" w:sz="0" w:space="0" w:color="auto"/>
      </w:divBdr>
    </w:div>
    <w:div w:id="2014720949">
      <w:bodyDiv w:val="1"/>
      <w:marLeft w:val="0"/>
      <w:marRight w:val="0"/>
      <w:marTop w:val="0"/>
      <w:marBottom w:val="0"/>
      <w:divBdr>
        <w:top w:val="none" w:sz="0" w:space="0" w:color="auto"/>
        <w:left w:val="none" w:sz="0" w:space="0" w:color="auto"/>
        <w:bottom w:val="none" w:sz="0" w:space="0" w:color="auto"/>
        <w:right w:val="none" w:sz="0" w:space="0" w:color="auto"/>
      </w:divBdr>
    </w:div>
    <w:div w:id="2055956466">
      <w:bodyDiv w:val="1"/>
      <w:marLeft w:val="0"/>
      <w:marRight w:val="0"/>
      <w:marTop w:val="0"/>
      <w:marBottom w:val="0"/>
      <w:divBdr>
        <w:top w:val="none" w:sz="0" w:space="0" w:color="auto"/>
        <w:left w:val="none" w:sz="0" w:space="0" w:color="auto"/>
        <w:bottom w:val="none" w:sz="0" w:space="0" w:color="auto"/>
        <w:right w:val="none" w:sz="0" w:space="0" w:color="auto"/>
      </w:divBdr>
    </w:div>
    <w:div w:id="210248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2003-20FF-4A8B-87AF-9B5190B6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7</Pages>
  <Words>8533</Words>
  <Characters>48639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cp:lastModifiedBy>E</cp:lastModifiedBy>
  <cp:revision>383</cp:revision>
  <dcterms:created xsi:type="dcterms:W3CDTF">2024-08-19T18:13:00Z</dcterms:created>
  <dcterms:modified xsi:type="dcterms:W3CDTF">2026-01-24T14:28:00Z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id="a49IuWfD"/&gt;&lt;style id="http://www.zotero.org/styles/vancouver" locale="en-US" hasBibliography="1" bibliographyStyleHasBeenSet="1"/&gt;&lt;prefs&gt;&lt;pref name="fieldType" value="Field"/&gt;&lt;/prefs&gt;&lt;/data&gt;</vt:lpwstr>
  </property>
  <property fmtid="{D5CDD505-2E9C-101B-9397-08002B2CF9AE}" pid="3" name="GrammarlyDocumentId">
    <vt:lpwstr>8ba3429e-6b89-4c6c-a79d-39775071758c</vt:lpwstr>
  </property>
</Properties>
</file>